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val="0"/>
          <w:bCs/>
          <w:sz w:val="32"/>
          <w:szCs w:val="32"/>
          <w:highlight w:val="none"/>
          <w:lang w:val="en-US" w:eastAsia="zh-CN"/>
        </w:rPr>
      </w:pPr>
      <w:r>
        <w:rPr>
          <w:b/>
          <w:color w:val="FF0000"/>
          <w:sz w:val="44"/>
          <w:szCs w:val="44"/>
        </w:rPr>
        <mc:AlternateContent>
          <mc:Choice Requires="wpg">
            <w:drawing>
              <wp:anchor distT="0" distB="0" distL="114300" distR="114300" simplePos="0" relativeHeight="251660288" behindDoc="0" locked="0" layoutInCell="1" allowOverlap="1">
                <wp:simplePos x="0" y="0"/>
                <wp:positionH relativeFrom="column">
                  <wp:posOffset>-357505</wp:posOffset>
                </wp:positionH>
                <wp:positionV relativeFrom="paragraph">
                  <wp:posOffset>942340</wp:posOffset>
                </wp:positionV>
                <wp:extent cx="6120130" cy="33020"/>
                <wp:effectExtent l="0" t="12700" r="13970" b="11430"/>
                <wp:wrapNone/>
                <wp:docPr id="25" name="组合 25"/>
                <wp:cNvGraphicFramePr/>
                <a:graphic xmlns:a="http://schemas.openxmlformats.org/drawingml/2006/main">
                  <a:graphicData uri="http://schemas.microsoft.com/office/word/2010/wordprocessingGroup">
                    <wpg:wgp>
                      <wpg:cNvGrpSpPr/>
                      <wpg:grpSpPr>
                        <a:xfrm>
                          <a:off x="0" y="0"/>
                          <a:ext cx="6120130" cy="33020"/>
                          <a:chOff x="0" y="0"/>
                          <a:chExt cx="6120000" cy="33101"/>
                        </a:xfrm>
                        <a:effectLst/>
                      </wpg:grpSpPr>
                      <wps:wsp>
                        <wps:cNvPr id="26" name="Line 3"/>
                        <wps:cNvCnPr>
                          <a:cxnSpLocks noChangeShapeType="1"/>
                        </wps:cNvCnPr>
                        <wps:spPr bwMode="auto">
                          <a:xfrm flipV="1">
                            <a:off x="0" y="0"/>
                            <a:ext cx="6120000" cy="0"/>
                          </a:xfrm>
                          <a:prstGeom prst="line">
                            <a:avLst/>
                          </a:prstGeom>
                          <a:noFill/>
                          <a:ln w="25400">
                            <a:solidFill>
                              <a:srgbClr val="FF0000"/>
                            </a:solidFill>
                            <a:round/>
                          </a:ln>
                          <a:effectLst/>
                        </wps:spPr>
                        <wps:bodyPr/>
                      </wps:wsp>
                      <wps:wsp>
                        <wps:cNvPr id="27" name="Line 4"/>
                        <wps:cNvCnPr>
                          <a:cxnSpLocks noChangeShapeType="1"/>
                        </wps:cNvCnPr>
                        <wps:spPr bwMode="auto">
                          <a:xfrm flipV="1">
                            <a:off x="0" y="33101"/>
                            <a:ext cx="6120000" cy="0"/>
                          </a:xfrm>
                          <a:prstGeom prst="line">
                            <a:avLst/>
                          </a:prstGeom>
                          <a:noFill/>
                          <a:ln w="9525">
                            <a:solidFill>
                              <a:srgbClr val="FF0000"/>
                            </a:solidFill>
                            <a:round/>
                          </a:ln>
                          <a:effectLst/>
                        </wps:spPr>
                        <wps:bodyPr/>
                      </wps:wsp>
                    </wpg:wgp>
                  </a:graphicData>
                </a:graphic>
              </wp:anchor>
            </w:drawing>
          </mc:Choice>
          <mc:Fallback>
            <w:pict>
              <v:group id="_x0000_s1026" o:spid="_x0000_s1026" o:spt="203" style="position:absolute;left:0pt;margin-left:-28.15pt;margin-top:74.2pt;height:2.6pt;width:481.9pt;z-index:251660288;mso-width-relative:page;mso-height-relative:page;" coordsize="6120000,33101" o:gfxdata="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9gf4H2wAAAAsBAAAPAAAAAAAAAAEAIAAAACIAAABkcnMvZG93bnJldi54&#10;bWxQSwECFAAUAAAACACHTuJAdc6DdmkCAADUBgAADgAAAAAAAAABACAAAAAqAQAAZHJzL2Uyb0Rv&#10;Yy54bWxQSwUGAAAAAAYABgBZAQAABQYAAAAA&#10;">
                <o:lock v:ext="edit" aspectratio="f"/>
                <v:line id="Line 3" o:spid="_x0000_s1026" o:spt="20" style="position:absolute;left:0;top:0;flip:y;height:0;width:6120000;" filled="f" stroked="t" coordsize="21600,21600" o:gfxdata="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ANupy8AAAA&#10;2wAAAA8AAAAAAAAAAQAgAAAAIgAAAGRycy9kb3ducmV2LnhtbFBLAQIUABQAAAAIAIdO4kAzLwWe&#10;OwAAADkAAAAQAAAAAAAAAAEAIAAAAAsBAABkcnMvc2hhcGV4bWwueG1sUEsFBgAAAAAGAAYAWwEA&#10;ALUDAAAAAA==&#10;">
                  <v:fill on="f" focussize="0,0"/>
                  <v:stroke weight="2pt" color="#FF0000" joinstyle="round"/>
                  <v:imagedata o:title=""/>
                  <o:lock v:ext="edit" aspectratio="f"/>
                </v:line>
                <v:line id="Line 4" o:spid="_x0000_s1026" o:spt="20" style="position:absolute;left:0;top:33101;flip:y;height:0;width:6120000;" filled="f" stroked="t" coordsize="21600,21600" o:gfxdata="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QofSvQAA&#10;ANsAAAAPAAAAAAAAAAEAIAAAACIAAABkcnMvZG93bnJldi54bWxQSwECFAAUAAAACACHTuJAMy8F&#10;njsAAAA5AAAAEAAAAAAAAAABACAAAAAMAQAAZHJzL3NoYXBleG1sLnhtbFBLBQYAAAAABgAGAFsB&#10;AAC2AwAAAAA=&#10;">
                  <v:fill on="f" focussize="0,0"/>
                  <v:stroke color="#FF0000" joinstyle="round"/>
                  <v:imagedata o:title=""/>
                  <o:lock v:ext="edit" aspectratio="f"/>
                </v:line>
              </v:group>
            </w:pict>
          </mc:Fallback>
        </mc:AlternateContent>
      </w:r>
      <w:r>
        <w:rPr>
          <w:b/>
          <w:color w:val="FF0000"/>
          <w:sz w:val="44"/>
          <w:szCs w:val="44"/>
        </w:rPr>
        <mc:AlternateContent>
          <mc:Choice Requires="wpg">
            <w:drawing>
              <wp:anchor distT="0" distB="0" distL="114300" distR="114300" simplePos="0" relativeHeight="251659264" behindDoc="0" locked="0" layoutInCell="1" allowOverlap="1">
                <wp:simplePos x="0" y="0"/>
                <wp:positionH relativeFrom="column">
                  <wp:posOffset>9965055</wp:posOffset>
                </wp:positionH>
                <wp:positionV relativeFrom="paragraph">
                  <wp:posOffset>777240</wp:posOffset>
                </wp:positionV>
                <wp:extent cx="6120130" cy="33020"/>
                <wp:effectExtent l="0" t="12700" r="13970" b="11430"/>
                <wp:wrapNone/>
                <wp:docPr id="7" name="组合 7"/>
                <wp:cNvGraphicFramePr/>
                <a:graphic xmlns:a="http://schemas.openxmlformats.org/drawingml/2006/main">
                  <a:graphicData uri="http://schemas.microsoft.com/office/word/2010/wordprocessingGroup">
                    <wpg:wgp>
                      <wpg:cNvGrpSpPr/>
                      <wpg:grpSpPr>
                        <a:xfrm>
                          <a:off x="0" y="0"/>
                          <a:ext cx="6120130" cy="33020"/>
                          <a:chOff x="0" y="0"/>
                          <a:chExt cx="6120000" cy="33101"/>
                        </a:xfrm>
                        <a:effectLst/>
                      </wpg:grpSpPr>
                      <wps:wsp>
                        <wps:cNvPr id="2" name="Line 3"/>
                        <wps:cNvCnPr>
                          <a:cxnSpLocks noChangeShapeType="1"/>
                        </wps:cNvCnPr>
                        <wps:spPr bwMode="auto">
                          <a:xfrm flipV="1">
                            <a:off x="0" y="0"/>
                            <a:ext cx="6120000" cy="0"/>
                          </a:xfrm>
                          <a:prstGeom prst="line">
                            <a:avLst/>
                          </a:prstGeom>
                          <a:noFill/>
                          <a:ln w="25400">
                            <a:solidFill>
                              <a:srgbClr val="FF0000"/>
                            </a:solidFill>
                            <a:round/>
                          </a:ln>
                          <a:effectLst/>
                        </wps:spPr>
                        <wps:bodyPr/>
                      </wps:wsp>
                      <wps:wsp>
                        <wps:cNvPr id="10" name="Line 4"/>
                        <wps:cNvCnPr>
                          <a:cxnSpLocks noChangeShapeType="1"/>
                        </wps:cNvCnPr>
                        <wps:spPr bwMode="auto">
                          <a:xfrm flipV="1">
                            <a:off x="0" y="33101"/>
                            <a:ext cx="6120000" cy="0"/>
                          </a:xfrm>
                          <a:prstGeom prst="line">
                            <a:avLst/>
                          </a:prstGeom>
                          <a:noFill/>
                          <a:ln w="9525">
                            <a:solidFill>
                              <a:srgbClr val="FF0000"/>
                            </a:solidFill>
                            <a:round/>
                          </a:ln>
                          <a:effectLst/>
                        </wps:spPr>
                        <wps:bodyPr/>
                      </wps:wsp>
                    </wpg:wgp>
                  </a:graphicData>
                </a:graphic>
              </wp:anchor>
            </w:drawing>
          </mc:Choice>
          <mc:Fallback>
            <w:pict>
              <v:group id="_x0000_s1026" o:spid="_x0000_s1026" o:spt="203" style="position:absolute;left:0pt;margin-left:784.65pt;margin-top:61.2pt;height:2.6pt;width:481.9pt;z-index:251659264;mso-width-relative:page;mso-height-relative:page;" coordsize="6120000,33101" o:gfxdata="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PZoCPjcAAAADQEAAA8AAAAAAAAAAQAgAAAAIgAAAGRycy9kb3du&#10;cmV2LnhtbFBLAQIUABQAAAAIAIdO4kCOgjrbbQIAANEGAAAOAAAAAAAAAAEAIAAAACsBAABkcnMv&#10;ZTJvRG9jLnhtbFBLBQYAAAAABgAGAFkBAAAKBgAAAAA=&#10;">
                <o:lock v:ext="edit" aspectratio="f"/>
                <v:line id="Line 3" o:spid="_x0000_s1026" o:spt="20" style="position:absolute;left:0;top:0;flip:y;height:0;width:6120000;" filled="f" stroked="t" coordsize="21600,21600" o:gfxdata="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HB0mi5AAAA2gAA&#10;AA8AAAAAAAAAAQAgAAAAIgAAAGRycy9kb3ducmV2LnhtbFBLAQIUABQAAAAIAIdO4kAzLwWeOwAA&#10;ADkAAAAQAAAAAAAAAAEAIAAAAAgBAABkcnMvc2hhcGV4bWwueG1sUEsFBgAAAAAGAAYAWwEAALID&#10;AAAAAA==&#10;">
                  <v:fill on="f" focussize="0,0"/>
                  <v:stroke weight="2pt" color="#FF0000" joinstyle="round"/>
                  <v:imagedata o:title=""/>
                  <o:lock v:ext="edit" aspectratio="f"/>
                </v:line>
                <v:line id="Line 4" o:spid="_x0000_s1026" o:spt="20" style="position:absolute;left:0;top:33101;flip:y;height:0;width:6120000;" filled="f" stroked="t" coordsize="21600,21600" o:gfxdata="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x9UbvQAA&#10;ANsAAAAPAAAAAAAAAAEAIAAAACIAAABkcnMvZG93bnJldi54bWxQSwECFAAUAAAACACHTuJAMy8F&#10;njsAAAA5AAAAEAAAAAAAAAABACAAAAAMAQAAZHJzL3NoYXBleG1sLnhtbFBLBQYAAAAABgAGAFsB&#10;AAC2AwAAAAA=&#10;">
                  <v:fill on="f" focussize="0,0"/>
                  <v:stroke color="#FF0000" joinstyle="round"/>
                  <v:imagedata o:title=""/>
                  <o:lock v:ext="edit" aspectratio="f"/>
                </v:line>
              </v:group>
            </w:pict>
          </mc:Fallback>
        </mc:AlternateContent>
      </w:r>
      <w:r>
        <w:rPr>
          <w:rFonts w:hint="eastAsia" w:ascii="宋体" w:hAnsi="宋体" w:eastAsia="宋体" w:cs="宋体"/>
          <w:b/>
          <w:bCs/>
          <w:color w:val="FF0000"/>
          <w:spacing w:val="57"/>
          <w:w w:val="50"/>
          <w:position w:val="-6"/>
          <w:sz w:val="112"/>
          <w:szCs w:val="112"/>
          <w:lang w:eastAsia="zh-CN"/>
        </w:rPr>
        <w:t>繁峙县行政审批服务管理局</w:t>
      </w:r>
    </w:p>
    <w:p>
      <w:pPr>
        <w:keepNext w:val="0"/>
        <w:keepLines w:val="0"/>
        <w:pageBreakBefore w:val="0"/>
        <w:widowControl w:val="0"/>
        <w:kinsoku/>
        <w:wordWrap/>
        <w:overflowPunct/>
        <w:topLinePunct w:val="0"/>
        <w:autoSpaceDE/>
        <w:autoSpaceDN/>
        <w:bidi w:val="0"/>
        <w:adjustRightInd/>
        <w:snapToGrid/>
        <w:spacing w:line="600" w:lineRule="exact"/>
        <w:ind w:firstLine="4256" w:firstLineChars="1400"/>
        <w:jc w:val="both"/>
        <w:textAlignment w:val="auto"/>
        <w:rPr>
          <w:rFonts w:hint="eastAsia" w:ascii="仿宋_GB2312" w:hAnsi="仿宋_GB2312" w:eastAsia="仿宋_GB2312" w:cs="仿宋_GB2312"/>
          <w:b w:val="0"/>
          <w:bCs/>
          <w:snapToGrid/>
          <w:kern w:val="2"/>
          <w:sz w:val="32"/>
          <w:szCs w:val="32"/>
          <w:highlight w:val="none"/>
          <w:lang w:val="en-US" w:eastAsia="zh-CN" w:bidi="ar-SA"/>
        </w:rPr>
      </w:pPr>
      <w:r>
        <w:rPr>
          <w:rFonts w:hint="eastAsia" w:ascii="仿宋_GB2312" w:hAnsi="仿宋_GB2312" w:eastAsia="仿宋_GB2312" w:cs="仿宋_GB2312"/>
          <w:b w:val="0"/>
          <w:bCs/>
          <w:snapToGrid/>
          <w:kern w:val="2"/>
          <w:sz w:val="32"/>
          <w:szCs w:val="32"/>
          <w:highlight w:val="none"/>
          <w:lang w:val="en-US" w:eastAsia="zh-CN" w:bidi="ar-SA"/>
        </w:rPr>
        <w:t>繁审管生态函〔</w:t>
      </w:r>
      <w:r>
        <w:rPr>
          <w:rFonts w:hint="default" w:ascii="Times New Roman" w:hAnsi="Times New Roman" w:eastAsia="仿宋_GB2312" w:cs="Times New Roman"/>
          <w:b w:val="0"/>
          <w:bCs/>
          <w:snapToGrid/>
          <w:kern w:val="2"/>
          <w:sz w:val="32"/>
          <w:szCs w:val="32"/>
          <w:highlight w:val="none"/>
          <w:lang w:val="en-US" w:eastAsia="zh-CN" w:bidi="ar-SA"/>
        </w:rPr>
        <w:t>2023</w:t>
      </w:r>
      <w:r>
        <w:rPr>
          <w:rFonts w:hint="eastAsia" w:ascii="仿宋_GB2312" w:hAnsi="仿宋_GB2312" w:eastAsia="仿宋_GB2312" w:cs="仿宋_GB2312"/>
          <w:b w:val="0"/>
          <w:bCs/>
          <w:snapToGrid/>
          <w:kern w:val="2"/>
          <w:sz w:val="32"/>
          <w:szCs w:val="32"/>
          <w:highlight w:val="none"/>
          <w:lang w:val="en-US" w:eastAsia="zh-CN" w:bidi="ar-SA"/>
        </w:rPr>
        <w:t>〕</w:t>
      </w:r>
      <w:r>
        <w:rPr>
          <w:rFonts w:hint="eastAsia" w:ascii="Times New Roman" w:hAnsi="Times New Roman" w:eastAsia="仿宋_GB2312" w:cs="Times New Roman"/>
          <w:b w:val="0"/>
          <w:bCs/>
          <w:snapToGrid/>
          <w:kern w:val="2"/>
          <w:sz w:val="32"/>
          <w:szCs w:val="32"/>
          <w:highlight w:val="none"/>
          <w:lang w:val="en-US" w:eastAsia="zh-CN" w:bidi="ar-SA"/>
        </w:rPr>
        <w:t>5</w:t>
      </w:r>
      <w:r>
        <w:rPr>
          <w:rFonts w:hint="eastAsia" w:ascii="仿宋_GB2312" w:hAnsi="仿宋_GB2312" w:eastAsia="仿宋_GB2312" w:cs="仿宋_GB2312"/>
          <w:b w:val="0"/>
          <w:bCs/>
          <w:snapToGrid/>
          <w:kern w:val="2"/>
          <w:sz w:val="32"/>
          <w:szCs w:val="32"/>
          <w:highlight w:val="none"/>
          <w:lang w:val="en-US" w:eastAsia="zh-CN" w:bidi="ar-SA"/>
        </w:rPr>
        <w:t>号</w:t>
      </w:r>
    </w:p>
    <w:p>
      <w:pPr>
        <w:pStyle w:val="4"/>
        <w:keepNext/>
        <w:keepLines/>
        <w:pageBreakBefore w:val="0"/>
        <w:widowControl w:val="0"/>
        <w:kinsoku/>
        <w:wordWrap/>
        <w:overflowPunct/>
        <w:topLinePunct w:val="0"/>
        <w:autoSpaceDE/>
        <w:autoSpaceDN/>
        <w:bidi w:val="0"/>
        <w:adjustRightInd/>
        <w:snapToGrid/>
        <w:spacing w:before="0" w:beforeLines="0" w:after="0" w:afterLines="0" w:line="600" w:lineRule="exact"/>
        <w:ind w:firstLine="1696" w:firstLineChars="400"/>
        <w:jc w:val="both"/>
        <w:textAlignment w:val="auto"/>
        <w:rPr>
          <w:rFonts w:hint="eastAsia" w:ascii="方正小标宋_GBK" w:hAnsi="方正小标宋_GBK" w:eastAsia="方正小标宋_GBK" w:cs="方正小标宋_GBK"/>
          <w:b w:val="0"/>
          <w:bCs/>
          <w:snapToGrid/>
          <w:szCs w:val="24"/>
          <w:lang w:val="en-US" w:eastAsia="zh-CN" w:bidi="ar-SA"/>
        </w:rPr>
      </w:pPr>
    </w:p>
    <w:p>
      <w:pPr>
        <w:pStyle w:val="4"/>
        <w:keepNext/>
        <w:keepLines/>
        <w:pageBreakBefore w:val="0"/>
        <w:widowControl w:val="0"/>
        <w:kinsoku/>
        <w:wordWrap/>
        <w:overflowPunct/>
        <w:topLinePunct w:val="0"/>
        <w:autoSpaceDE/>
        <w:autoSpaceDN/>
        <w:bidi w:val="0"/>
        <w:adjustRightInd/>
        <w:snapToGrid/>
        <w:spacing w:before="0" w:beforeLines="0" w:after="0" w:afterLines="0" w:line="700" w:lineRule="exact"/>
        <w:ind w:firstLine="1696" w:firstLineChars="400"/>
        <w:jc w:val="both"/>
        <w:textAlignment w:val="auto"/>
        <w:rPr>
          <w:rFonts w:hint="eastAsia" w:ascii="方正小标宋_GBK" w:hAnsi="方正小标宋_GBK" w:eastAsia="方正小标宋_GBK" w:cs="方正小标宋_GBK"/>
          <w:b w:val="0"/>
          <w:bCs/>
          <w:snapToGrid/>
          <w:szCs w:val="24"/>
          <w:lang w:val="en-US" w:eastAsia="zh-CN" w:bidi="ar-SA"/>
        </w:rPr>
      </w:pPr>
      <w:r>
        <w:rPr>
          <w:rFonts w:hint="eastAsia" w:ascii="方正小标宋_GBK" w:hAnsi="方正小标宋_GBK" w:eastAsia="方正小标宋_GBK" w:cs="方正小标宋_GBK"/>
          <w:b w:val="0"/>
          <w:bCs/>
          <w:snapToGrid/>
          <w:szCs w:val="24"/>
          <w:lang w:val="en-US" w:eastAsia="zh-CN" w:bidi="ar-SA"/>
        </w:rPr>
        <w:t>繁峙县行政审批服务管理局</w:t>
      </w:r>
    </w:p>
    <w:p>
      <w:pPr>
        <w:pStyle w:val="4"/>
        <w:keepNext/>
        <w:keepLines/>
        <w:pageBreakBefore w:val="0"/>
        <w:widowControl w:val="0"/>
        <w:kinsoku/>
        <w:wordWrap/>
        <w:overflowPunct/>
        <w:topLinePunct w:val="0"/>
        <w:autoSpaceDE/>
        <w:autoSpaceDN/>
        <w:bidi w:val="0"/>
        <w:adjustRightInd/>
        <w:snapToGrid/>
        <w:spacing w:before="0" w:beforeLines="0" w:after="0" w:afterLines="0" w:line="700" w:lineRule="exact"/>
        <w:jc w:val="center"/>
        <w:textAlignment w:val="auto"/>
        <w:rPr>
          <w:rFonts w:hint="eastAsia" w:ascii="方正小标宋_GBK" w:hAnsi="方正小标宋_GBK" w:eastAsia="方正小标宋_GBK" w:cs="方正小标宋_GBK"/>
          <w:b w:val="0"/>
          <w:bCs/>
          <w:snapToGrid/>
          <w:szCs w:val="24"/>
          <w:lang w:val="en-US" w:eastAsia="zh-CN" w:bidi="ar-SA"/>
        </w:rPr>
      </w:pPr>
      <w:r>
        <w:rPr>
          <w:rFonts w:hint="eastAsia" w:ascii="方正小标宋_GBK" w:hAnsi="方正小标宋_GBK" w:eastAsia="方正小标宋_GBK" w:cs="方正小标宋_GBK"/>
          <w:b w:val="0"/>
          <w:bCs/>
          <w:snapToGrid/>
          <w:szCs w:val="24"/>
          <w:lang w:val="en-US" w:eastAsia="zh-CN" w:bidi="ar-SA"/>
        </w:rPr>
        <w:t>关于繁峙县憨山农业科技发展有限公司农作物秸秆综合利用项目环境影响报告表的批复</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napToGrid/>
          <w:kern w:val="2"/>
          <w:sz w:val="32"/>
          <w:szCs w:val="32"/>
          <w:u w:val="none"/>
          <w:shd w:val="clear" w:color="auto" w:fill="auto"/>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napToGrid/>
          <w:kern w:val="2"/>
          <w:sz w:val="32"/>
          <w:szCs w:val="32"/>
          <w:u w:val="none"/>
          <w:shd w:val="clear" w:color="auto" w:fill="auto"/>
          <w:lang w:val="en-US" w:eastAsia="zh-CN" w:bidi="ar-SA"/>
        </w:rPr>
      </w:pPr>
      <w:r>
        <w:rPr>
          <w:rFonts w:hint="eastAsia" w:ascii="仿宋_GB2312" w:hAnsi="仿宋_GB2312" w:eastAsia="仿宋_GB2312" w:cs="仿宋_GB2312"/>
          <w:snapToGrid/>
          <w:kern w:val="2"/>
          <w:sz w:val="32"/>
          <w:szCs w:val="32"/>
          <w:u w:val="none"/>
          <w:shd w:val="clear" w:color="auto" w:fill="auto"/>
          <w:lang w:val="en-US" w:eastAsia="zh-CN" w:bidi="ar-SA"/>
        </w:rPr>
        <w:t>繁峙县憨山农业科技发展有限公司：</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200"/>
        <w:jc w:val="both"/>
        <w:textAlignment w:val="auto"/>
        <w:rPr>
          <w:rFonts w:hint="eastAsia" w:ascii="仿宋_GB2312" w:hAnsi="仿宋_GB2312" w:eastAsia="仿宋_GB2312" w:cs="仿宋_GB2312"/>
          <w:snapToGrid/>
          <w:kern w:val="2"/>
          <w:sz w:val="32"/>
          <w:szCs w:val="32"/>
          <w:u w:val="none"/>
          <w:shd w:val="clear" w:color="auto" w:fill="auto"/>
          <w:lang w:val="en-US" w:eastAsia="zh-CN" w:bidi="ar-SA"/>
        </w:rPr>
      </w:pPr>
      <w:r>
        <w:rPr>
          <w:rFonts w:hint="eastAsia" w:ascii="仿宋_GB2312" w:hAnsi="仿宋_GB2312" w:eastAsia="仿宋_GB2312" w:cs="仿宋_GB2312"/>
          <w:snapToGrid/>
          <w:kern w:val="2"/>
          <w:sz w:val="32"/>
          <w:szCs w:val="32"/>
          <w:u w:val="none"/>
          <w:shd w:val="clear" w:color="auto" w:fill="auto"/>
          <w:lang w:val="en-US" w:eastAsia="zh-CN" w:bidi="ar-SA"/>
        </w:rPr>
        <w:t>你公司报送的《繁峙县憨山农业科技发展有限公司农作物秸秆综合利用项目环境影响报告表》(以下简称《报告表》)、《报告表》报批申请已收悉，经研究，现批复如下：</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200"/>
        <w:jc w:val="both"/>
        <w:textAlignment w:val="auto"/>
        <w:rPr>
          <w:rFonts w:hint="eastAsia" w:ascii="仿宋_GB2312" w:hAnsi="仿宋_GB2312" w:eastAsia="仿宋_GB2312" w:cs="仿宋_GB2312"/>
          <w:snapToGrid/>
          <w:kern w:val="2"/>
          <w:sz w:val="32"/>
          <w:szCs w:val="32"/>
          <w:u w:val="none"/>
          <w:shd w:val="clear" w:color="auto" w:fill="auto"/>
          <w:lang w:val="en-US" w:eastAsia="zh-CN" w:bidi="ar-SA"/>
        </w:rPr>
      </w:pPr>
      <w:r>
        <w:rPr>
          <w:rFonts w:hint="eastAsia" w:ascii="仿宋_GB2312" w:hAnsi="仿宋_GB2312" w:eastAsia="仿宋_GB2312" w:cs="仿宋_GB2312"/>
          <w:snapToGrid/>
          <w:kern w:val="2"/>
          <w:sz w:val="32"/>
          <w:szCs w:val="32"/>
          <w:u w:val="none"/>
          <w:shd w:val="clear" w:color="auto" w:fill="auto"/>
          <w:lang w:val="en-US" w:eastAsia="zh-CN" w:bidi="ar-SA"/>
        </w:rPr>
        <w:t>一、该项目环境影响评价文件未经批准擅自开工建设并投入运营，违反了环保有关法律规定，违法行为已经忻州市生态环境局查处(忻环繁峙罚字〔</w:t>
      </w:r>
      <w:r>
        <w:rPr>
          <w:rFonts w:hint="eastAsia" w:ascii="Times New Roman" w:hAnsi="Times New Roman" w:eastAsia="仿宋_GB2312" w:cs="Times New Roman"/>
          <w:b w:val="0"/>
          <w:bCs/>
          <w:snapToGrid/>
          <w:kern w:val="2"/>
          <w:sz w:val="32"/>
          <w:szCs w:val="32"/>
          <w:highlight w:val="none"/>
          <w:lang w:val="en-US" w:eastAsia="zh-CN" w:bidi="ar-SA"/>
        </w:rPr>
        <w:t>2023〕01</w:t>
      </w:r>
      <w:r>
        <w:rPr>
          <w:rFonts w:hint="eastAsia" w:ascii="仿宋_GB2312" w:hAnsi="仿宋_GB2312" w:eastAsia="仿宋_GB2312" w:cs="仿宋_GB2312"/>
          <w:snapToGrid/>
          <w:kern w:val="2"/>
          <w:sz w:val="32"/>
          <w:szCs w:val="32"/>
          <w:u w:val="none"/>
          <w:shd w:val="clear" w:color="auto" w:fill="auto"/>
          <w:lang w:val="en-US" w:eastAsia="zh-CN" w:bidi="ar-SA"/>
        </w:rPr>
        <w:t>号)。你公司必须认真吸取教训，增强法律意识，杜绝违法行为再次发生。</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200"/>
        <w:jc w:val="both"/>
        <w:textAlignment w:val="auto"/>
        <w:rPr>
          <w:rFonts w:hint="eastAsia" w:ascii="Times New Roman" w:hAnsi="Times New Roman" w:eastAsia="仿宋_GB2312" w:cs="Times New Roman"/>
          <w:b w:val="0"/>
          <w:bCs/>
          <w:snapToGrid/>
          <w:kern w:val="2"/>
          <w:sz w:val="32"/>
          <w:szCs w:val="32"/>
          <w:highlight w:val="none"/>
          <w:lang w:val="en-US" w:eastAsia="zh-CN" w:bidi="ar-SA"/>
        </w:rPr>
      </w:pPr>
      <w:r>
        <w:rPr>
          <w:rFonts w:hint="eastAsia" w:ascii="仿宋_GB2312" w:hAnsi="仿宋_GB2312" w:eastAsia="仿宋_GB2312" w:cs="仿宋_GB2312"/>
          <w:snapToGrid/>
          <w:kern w:val="2"/>
          <w:sz w:val="32"/>
          <w:szCs w:val="32"/>
          <w:u w:val="none"/>
          <w:shd w:val="clear" w:color="auto" w:fill="auto"/>
          <w:lang w:val="en-US" w:eastAsia="zh-CN" w:bidi="ar-SA"/>
        </w:rPr>
        <w:t>二、你公司拟建农作物秸秆综合利用项目位于繁峙县砂河镇抬头坡农机修造厂院内。本项目建设</w:t>
      </w:r>
      <w:r>
        <w:rPr>
          <w:rFonts w:hint="eastAsia" w:ascii="Times New Roman" w:hAnsi="Times New Roman" w:eastAsia="仿宋_GB2312" w:cs="Times New Roman"/>
          <w:b w:val="0"/>
          <w:bCs/>
          <w:snapToGrid/>
          <w:kern w:val="2"/>
          <w:sz w:val="32"/>
          <w:szCs w:val="32"/>
          <w:highlight w:val="none"/>
          <w:lang w:val="en-US" w:eastAsia="zh-CN" w:bidi="ar-SA"/>
        </w:rPr>
        <w:t>3</w:t>
      </w:r>
      <w:r>
        <w:rPr>
          <w:rFonts w:hint="eastAsia" w:ascii="仿宋_GB2312" w:hAnsi="仿宋_GB2312" w:eastAsia="仿宋_GB2312" w:cs="仿宋_GB2312"/>
          <w:snapToGrid/>
          <w:kern w:val="2"/>
          <w:sz w:val="32"/>
          <w:szCs w:val="32"/>
          <w:u w:val="none"/>
          <w:shd w:val="clear" w:color="auto" w:fill="auto"/>
          <w:lang w:val="en-US" w:eastAsia="zh-CN" w:bidi="ar-SA"/>
        </w:rPr>
        <w:t>条生产线（棒状颗粒生产线、块状颗粒生产线、饲草生产线），建成后年产块状颗粒</w:t>
      </w:r>
      <w:r>
        <w:rPr>
          <w:rFonts w:hint="eastAsia" w:ascii="Times New Roman" w:hAnsi="Times New Roman" w:eastAsia="仿宋_GB2312" w:cs="Times New Roman"/>
          <w:b w:val="0"/>
          <w:bCs/>
          <w:snapToGrid/>
          <w:kern w:val="2"/>
          <w:sz w:val="32"/>
          <w:szCs w:val="32"/>
          <w:highlight w:val="none"/>
          <w:lang w:val="en-US" w:eastAsia="zh-CN" w:bidi="ar-SA"/>
        </w:rPr>
        <w:t>25000</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napToGrid/>
          <w:kern w:val="2"/>
          <w:sz w:val="32"/>
          <w:szCs w:val="32"/>
          <w:u w:val="none"/>
          <w:shd w:val="clear" w:color="auto" w:fill="auto"/>
          <w:lang w:val="en-US" w:eastAsia="zh-CN" w:bidi="ar-SA"/>
        </w:rPr>
      </w:pPr>
      <w:bookmarkStart w:id="0" w:name="_GoBack"/>
      <w:bookmarkEnd w:id="0"/>
      <w:r>
        <w:rPr>
          <w:b/>
          <w:color w:val="FF0000"/>
          <w:sz w:val="44"/>
          <w:szCs w:val="44"/>
        </w:rPr>
        <mc:AlternateContent>
          <mc:Choice Requires="wpg">
            <w:drawing>
              <wp:anchor distT="0" distB="0" distL="114300" distR="114300" simplePos="0" relativeHeight="251661312" behindDoc="0" locked="0" layoutInCell="1" allowOverlap="1">
                <wp:simplePos x="0" y="0"/>
                <wp:positionH relativeFrom="column">
                  <wp:posOffset>-328930</wp:posOffset>
                </wp:positionH>
                <wp:positionV relativeFrom="paragraph">
                  <wp:posOffset>574040</wp:posOffset>
                </wp:positionV>
                <wp:extent cx="6120130" cy="33020"/>
                <wp:effectExtent l="0" t="12700" r="13970" b="11430"/>
                <wp:wrapNone/>
                <wp:docPr id="9" name="组合 9"/>
                <wp:cNvGraphicFramePr/>
                <a:graphic xmlns:a="http://schemas.openxmlformats.org/drawingml/2006/main">
                  <a:graphicData uri="http://schemas.microsoft.com/office/word/2010/wordprocessingGroup">
                    <wpg:wgp>
                      <wpg:cNvGrpSpPr/>
                      <wpg:grpSpPr>
                        <a:xfrm>
                          <a:off x="0" y="0"/>
                          <a:ext cx="6120130" cy="33020"/>
                          <a:chOff x="0" y="0"/>
                          <a:chExt cx="6120000" cy="33101"/>
                        </a:xfrm>
                        <a:effectLst/>
                      </wpg:grpSpPr>
                      <wps:wsp>
                        <wps:cNvPr id="11" name="Line 3"/>
                        <wps:cNvCnPr>
                          <a:cxnSpLocks noChangeShapeType="1"/>
                        </wps:cNvCnPr>
                        <wps:spPr bwMode="auto">
                          <a:xfrm flipV="1">
                            <a:off x="0" y="0"/>
                            <a:ext cx="6120000" cy="0"/>
                          </a:xfrm>
                          <a:prstGeom prst="line">
                            <a:avLst/>
                          </a:prstGeom>
                          <a:noFill/>
                          <a:ln w="25400">
                            <a:solidFill>
                              <a:srgbClr val="FF0000"/>
                            </a:solidFill>
                            <a:round/>
                          </a:ln>
                          <a:effectLst/>
                        </wps:spPr>
                        <wps:bodyPr/>
                      </wps:wsp>
                      <wps:wsp>
                        <wps:cNvPr id="12" name="Line 4"/>
                        <wps:cNvCnPr>
                          <a:cxnSpLocks noChangeShapeType="1"/>
                        </wps:cNvCnPr>
                        <wps:spPr bwMode="auto">
                          <a:xfrm flipV="1">
                            <a:off x="0" y="33101"/>
                            <a:ext cx="6120000" cy="0"/>
                          </a:xfrm>
                          <a:prstGeom prst="line">
                            <a:avLst/>
                          </a:prstGeom>
                          <a:noFill/>
                          <a:ln w="9525">
                            <a:solidFill>
                              <a:srgbClr val="FF0000"/>
                            </a:solidFill>
                            <a:round/>
                          </a:ln>
                          <a:effectLst/>
                        </wps:spPr>
                        <wps:bodyPr/>
                      </wps:wsp>
                    </wpg:wgp>
                  </a:graphicData>
                </a:graphic>
              </wp:anchor>
            </w:drawing>
          </mc:Choice>
          <mc:Fallback>
            <w:pict>
              <v:group id="_x0000_s1026" o:spid="_x0000_s1026" o:spt="203" style="position:absolute;left:0pt;margin-left:-25.9pt;margin-top:45.2pt;height:2.6pt;width:481.9pt;z-index:251661312;mso-width-relative:page;mso-height-relative:page;" coordsize="6120000,33101" o:gfxdata="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DYjw/zaAAAACQEAAA8AAAAAAAAAAQAgAAAAIgAAAGRycy9kb3ducmV2Lnht&#10;bFBLAQIUABQAAAAIAIdO4kCeniNPaQIAANIGAAAOAAAAAAAAAAEAIAAAACkBAABkcnMvZTJvRG9j&#10;LnhtbFBLBQYAAAAABgAGAFkBAAAEBgAAAAA=&#10;">
                <o:lock v:ext="edit" aspectratio="f"/>
                <v:line id="Line 3" o:spid="_x0000_s1026" o:spt="20" style="position:absolute;left:0;top:0;flip:y;height:0;width:6120000;" filled="f" stroked="t" coordsize="21600,21600" o:gfxdata="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GI6FW5AAAA2wAA&#10;AA8AAAAAAAAAAQAgAAAAIgAAAGRycy9kb3ducmV2LnhtbFBLAQIUABQAAAAIAIdO4kAzLwWeOwAA&#10;ADkAAAAQAAAAAAAAAAEAIAAAAAgBAABkcnMvc2hhcGV4bWwueG1sUEsFBgAAAAAGAAYAWwEAALID&#10;AAAAAA==&#10;">
                  <v:fill on="f" focussize="0,0"/>
                  <v:stroke weight="2pt" color="#FF0000" joinstyle="round"/>
                  <v:imagedata o:title=""/>
                  <o:lock v:ext="edit" aspectratio="f"/>
                </v:line>
                <v:line id="Line 4" o:spid="_x0000_s1026" o:spt="20" style="position:absolute;left:0;top:33101;flip:y;height:0;width:6120000;" filled="f" stroked="t" coordsize="21600,21600" o:gfxdata="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Vnu97sAAADb&#10;AAAADwAAAAAAAAABACAAAAAiAAAAZHJzL2Rvd25yZXYueG1sUEsBAhQAFAAAAAgAh07iQDMvBZ47&#10;AAAAOQAAABAAAAAAAAAAAQAgAAAACgEAAGRycy9zaGFwZXhtbC54bWxQSwUGAAAAAAYABgBbAQAA&#10;tAMAAAAA&#10;">
                  <v:fill on="f" focussize="0,0"/>
                  <v:stroke color="#FF0000" joinstyle="round"/>
                  <v:imagedata o:title=""/>
                  <o:lock v:ext="edit" aspectratio="f"/>
                </v:line>
              </v:group>
            </w:pict>
          </mc:Fallback>
        </mc:AlternateContent>
      </w:r>
      <w:r>
        <w:rPr>
          <w:rFonts w:hint="eastAsia" w:ascii="仿宋_GB2312" w:hAnsi="仿宋_GB2312" w:eastAsia="仿宋_GB2312" w:cs="仿宋_GB2312"/>
          <w:snapToGrid/>
          <w:kern w:val="2"/>
          <w:sz w:val="32"/>
          <w:szCs w:val="32"/>
          <w:u w:val="none"/>
          <w:shd w:val="clear" w:color="auto" w:fill="auto"/>
          <w:lang w:val="en-US" w:eastAsia="zh-CN" w:bidi="ar-SA"/>
        </w:rPr>
        <w:t>吨、年产棒状颗粒</w:t>
      </w:r>
      <w:r>
        <w:rPr>
          <w:rFonts w:hint="eastAsia" w:ascii="Times New Roman" w:hAnsi="Times New Roman" w:eastAsia="仿宋_GB2312" w:cs="Times New Roman"/>
          <w:b w:val="0"/>
          <w:bCs/>
          <w:snapToGrid/>
          <w:kern w:val="2"/>
          <w:sz w:val="32"/>
          <w:szCs w:val="32"/>
          <w:highlight w:val="none"/>
          <w:lang w:val="en-US" w:eastAsia="zh-CN" w:bidi="ar-SA"/>
        </w:rPr>
        <w:t>25000</w:t>
      </w:r>
      <w:r>
        <w:rPr>
          <w:rFonts w:hint="eastAsia" w:ascii="仿宋_GB2312" w:hAnsi="仿宋_GB2312" w:eastAsia="仿宋_GB2312" w:cs="仿宋_GB2312"/>
          <w:snapToGrid/>
          <w:kern w:val="2"/>
          <w:sz w:val="32"/>
          <w:szCs w:val="32"/>
          <w:u w:val="none"/>
          <w:shd w:val="clear" w:color="auto" w:fill="auto"/>
          <w:lang w:val="en-US" w:eastAsia="zh-CN" w:bidi="ar-SA"/>
        </w:rPr>
        <w:t>吨、年产饲草</w:t>
      </w:r>
      <w:r>
        <w:rPr>
          <w:rFonts w:hint="eastAsia" w:ascii="Times New Roman" w:hAnsi="Times New Roman" w:eastAsia="仿宋_GB2312" w:cs="Times New Roman"/>
          <w:b w:val="0"/>
          <w:bCs/>
          <w:snapToGrid/>
          <w:kern w:val="2"/>
          <w:sz w:val="32"/>
          <w:szCs w:val="32"/>
          <w:highlight w:val="none"/>
          <w:lang w:val="en-US" w:eastAsia="zh-CN" w:bidi="ar-SA"/>
        </w:rPr>
        <w:t>25000</w:t>
      </w:r>
      <w:r>
        <w:rPr>
          <w:rFonts w:hint="eastAsia" w:ascii="仿宋_GB2312" w:hAnsi="仿宋_GB2312" w:eastAsia="仿宋_GB2312" w:cs="仿宋_GB2312"/>
          <w:snapToGrid/>
          <w:kern w:val="2"/>
          <w:sz w:val="32"/>
          <w:szCs w:val="32"/>
          <w:u w:val="none"/>
          <w:shd w:val="clear" w:color="auto" w:fill="auto"/>
          <w:lang w:val="en-US" w:eastAsia="zh-CN" w:bidi="ar-SA"/>
        </w:rPr>
        <w:t>吨。项目总投资</w:t>
      </w:r>
      <w:r>
        <w:rPr>
          <w:rFonts w:hint="eastAsia" w:ascii="Times New Roman" w:hAnsi="Times New Roman" w:eastAsia="仿宋_GB2312" w:cs="Times New Roman"/>
          <w:b w:val="0"/>
          <w:bCs/>
          <w:snapToGrid/>
          <w:kern w:val="2"/>
          <w:sz w:val="32"/>
          <w:szCs w:val="32"/>
          <w:highlight w:val="none"/>
          <w:lang w:val="en-US" w:eastAsia="zh-CN" w:bidi="ar-SA"/>
        </w:rPr>
        <w:t>600</w:t>
      </w:r>
      <w:r>
        <w:rPr>
          <w:rFonts w:hint="eastAsia" w:ascii="仿宋_GB2312" w:hAnsi="仿宋_GB2312" w:eastAsia="仿宋_GB2312" w:cs="仿宋_GB2312"/>
          <w:snapToGrid/>
          <w:kern w:val="2"/>
          <w:sz w:val="32"/>
          <w:szCs w:val="32"/>
          <w:u w:val="none"/>
          <w:shd w:val="clear" w:color="auto" w:fill="auto"/>
          <w:lang w:val="en-US" w:eastAsia="zh-CN" w:bidi="ar-SA"/>
        </w:rPr>
        <w:t>万元，其中环保投资</w:t>
      </w:r>
      <w:r>
        <w:rPr>
          <w:rFonts w:hint="eastAsia" w:ascii="Times New Roman" w:hAnsi="Times New Roman" w:eastAsia="仿宋_GB2312" w:cs="Times New Roman"/>
          <w:b w:val="0"/>
          <w:bCs/>
          <w:snapToGrid/>
          <w:kern w:val="2"/>
          <w:sz w:val="32"/>
          <w:szCs w:val="32"/>
          <w:highlight w:val="none"/>
          <w:lang w:val="en-US" w:eastAsia="zh-CN" w:bidi="ar-SA"/>
        </w:rPr>
        <w:t>24</w:t>
      </w:r>
      <w:r>
        <w:rPr>
          <w:rFonts w:hint="eastAsia" w:ascii="仿宋_GB2312" w:hAnsi="仿宋_GB2312" w:eastAsia="仿宋_GB2312" w:cs="仿宋_GB2312"/>
          <w:snapToGrid/>
          <w:kern w:val="2"/>
          <w:sz w:val="32"/>
          <w:szCs w:val="32"/>
          <w:u w:val="none"/>
          <w:shd w:val="clear" w:color="auto" w:fill="auto"/>
          <w:lang w:val="en-US" w:eastAsia="zh-CN" w:bidi="ar-SA"/>
        </w:rPr>
        <w:t>万元。该项目取得了山西省企业投资项目备案证(项目代码：</w:t>
      </w:r>
      <w:r>
        <w:rPr>
          <w:rFonts w:hint="eastAsia" w:ascii="Times New Roman" w:hAnsi="Times New Roman" w:eastAsia="仿宋_GB2312" w:cs="Times New Roman"/>
          <w:b w:val="0"/>
          <w:bCs/>
          <w:snapToGrid/>
          <w:kern w:val="2"/>
          <w:sz w:val="32"/>
          <w:szCs w:val="32"/>
          <w:highlight w:val="none"/>
          <w:lang w:val="en-US" w:eastAsia="zh-CN" w:bidi="ar-SA"/>
        </w:rPr>
        <w:t>2205-140924-89-01-277769</w:t>
      </w:r>
      <w:r>
        <w:rPr>
          <w:rFonts w:hint="eastAsia" w:ascii="仿宋_GB2312" w:hAnsi="仿宋_GB2312" w:eastAsia="仿宋_GB2312" w:cs="仿宋_GB2312"/>
          <w:snapToGrid/>
          <w:kern w:val="2"/>
          <w:sz w:val="32"/>
          <w:szCs w:val="32"/>
          <w:u w:val="none"/>
          <w:shd w:val="clear" w:color="auto" w:fill="auto"/>
          <w:lang w:val="en-US" w:eastAsia="zh-CN" w:bidi="ar-SA"/>
        </w:rPr>
        <w:t>)。在严格落实《报告表》提出的各项污染防治、生态保护措施和本批复要求的前提下，根据专家审查意见，我局原则同意《报告表》中所列的建设项目的性质、规模、地点、工艺以及拟采取的环境保护措施。</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200"/>
        <w:jc w:val="both"/>
        <w:textAlignment w:val="auto"/>
        <w:rPr>
          <w:rFonts w:hint="eastAsia" w:ascii="仿宋_GB2312" w:hAnsi="仿宋_GB2312" w:eastAsia="仿宋_GB2312" w:cs="仿宋_GB2312"/>
          <w:snapToGrid/>
          <w:kern w:val="2"/>
          <w:sz w:val="32"/>
          <w:szCs w:val="32"/>
          <w:u w:val="none"/>
          <w:shd w:val="clear" w:color="auto" w:fill="auto"/>
          <w:lang w:val="en-US" w:eastAsia="zh-CN" w:bidi="ar-SA"/>
        </w:rPr>
      </w:pPr>
      <w:r>
        <w:rPr>
          <w:rFonts w:hint="eastAsia" w:ascii="仿宋_GB2312" w:hAnsi="仿宋_GB2312" w:eastAsia="仿宋_GB2312" w:cs="仿宋_GB2312"/>
          <w:snapToGrid/>
          <w:kern w:val="2"/>
          <w:sz w:val="32"/>
          <w:szCs w:val="32"/>
          <w:u w:val="none"/>
          <w:shd w:val="clear" w:color="auto" w:fill="auto"/>
          <w:lang w:val="en-US" w:eastAsia="zh-CN" w:bidi="ar-SA"/>
        </w:rPr>
        <w:t>三、你公司在项目建设和运营管理中，必须严格落实《报告表》中提出的各项污染防治措施，重点做好以下工作：</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200"/>
        <w:jc w:val="both"/>
        <w:textAlignment w:val="auto"/>
        <w:rPr>
          <w:rFonts w:hint="eastAsia" w:ascii="仿宋_GB2312" w:hAnsi="仿宋_GB2312" w:eastAsia="仿宋_GB2312" w:cs="仿宋_GB2312"/>
          <w:snapToGrid/>
          <w:kern w:val="2"/>
          <w:sz w:val="32"/>
          <w:szCs w:val="32"/>
          <w:u w:val="none"/>
          <w:shd w:val="clear" w:color="auto" w:fill="auto"/>
          <w:lang w:val="en-US" w:eastAsia="zh-CN" w:bidi="ar-SA"/>
        </w:rPr>
      </w:pPr>
      <w:r>
        <w:rPr>
          <w:rFonts w:hint="eastAsia" w:ascii="Times New Roman" w:hAnsi="Times New Roman" w:eastAsia="仿宋_GB2312" w:cs="Times New Roman"/>
          <w:b w:val="0"/>
          <w:bCs/>
          <w:snapToGrid/>
          <w:kern w:val="2"/>
          <w:sz w:val="32"/>
          <w:szCs w:val="32"/>
          <w:highlight w:val="none"/>
          <w:lang w:val="en-US" w:eastAsia="zh-CN" w:bidi="ar-SA"/>
        </w:rPr>
        <w:t>1</w:t>
      </w:r>
      <w:r>
        <w:rPr>
          <w:rFonts w:hint="eastAsia" w:ascii="仿宋_GB2312" w:hAnsi="仿宋_GB2312" w:eastAsia="仿宋_GB2312" w:cs="仿宋_GB2312"/>
          <w:snapToGrid/>
          <w:kern w:val="2"/>
          <w:sz w:val="32"/>
          <w:szCs w:val="32"/>
          <w:u w:val="none"/>
          <w:shd w:val="clear" w:color="auto" w:fill="auto"/>
          <w:lang w:val="en-US" w:eastAsia="zh-CN" w:bidi="ar-SA"/>
        </w:rPr>
        <w:t>、认真做好施工期环境保护工作，加强环境管理，严格落实《报告表》提出的施工期废气、废水、噪声、固废等污染防治措施，降低对周边环境的影响。做好“六个百分百”等相关工作；施工排放的废水排入沉淀池内，经沉淀处理后进行回收利用，用于洒水降尘，不得外排；在施工区域内设临时固废集中收集点，运至市政环卫部门指定的地点，禁止乱堆乱放；合理安排施工时间，加强运输车辆管理，建筑施工场界噪声应满足《建筑施工场界环境噪声排放标准》(GB</w:t>
      </w:r>
      <w:r>
        <w:rPr>
          <w:rFonts w:hint="eastAsia" w:ascii="Times New Roman" w:hAnsi="Times New Roman" w:eastAsia="仿宋_GB2312" w:cs="Times New Roman"/>
          <w:b w:val="0"/>
          <w:bCs/>
          <w:snapToGrid/>
          <w:kern w:val="2"/>
          <w:sz w:val="32"/>
          <w:szCs w:val="32"/>
          <w:highlight w:val="none"/>
          <w:lang w:val="en-US" w:eastAsia="zh-CN" w:bidi="ar-SA"/>
        </w:rPr>
        <w:t>12523-2011</w:t>
      </w:r>
      <w:r>
        <w:rPr>
          <w:rFonts w:hint="eastAsia" w:ascii="仿宋_GB2312" w:hAnsi="仿宋_GB2312" w:eastAsia="仿宋_GB2312" w:cs="仿宋_GB2312"/>
          <w:snapToGrid/>
          <w:kern w:val="2"/>
          <w:sz w:val="32"/>
          <w:szCs w:val="32"/>
          <w:u w:val="none"/>
          <w:shd w:val="clear" w:color="auto" w:fill="auto"/>
          <w:lang w:val="en-US" w:eastAsia="zh-CN" w:bidi="ar-SA"/>
        </w:rPr>
        <w:t>)要求。</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200"/>
        <w:jc w:val="both"/>
        <w:textAlignment w:val="auto"/>
        <w:rPr>
          <w:rFonts w:hint="eastAsia" w:ascii="仿宋_GB2312" w:hAnsi="仿宋_GB2312" w:eastAsia="仿宋_GB2312" w:cs="仿宋_GB2312"/>
          <w:snapToGrid/>
          <w:kern w:val="2"/>
          <w:sz w:val="32"/>
          <w:szCs w:val="32"/>
          <w:u w:val="none"/>
          <w:shd w:val="clear" w:color="auto" w:fill="auto"/>
          <w:lang w:val="en-US" w:eastAsia="zh-CN" w:bidi="ar-SA"/>
        </w:rPr>
      </w:pPr>
      <w:r>
        <w:rPr>
          <w:rFonts w:hint="eastAsia" w:ascii="Times New Roman" w:hAnsi="Times New Roman" w:eastAsia="仿宋_GB2312" w:cs="Times New Roman"/>
          <w:b w:val="0"/>
          <w:bCs/>
          <w:snapToGrid/>
          <w:kern w:val="2"/>
          <w:sz w:val="32"/>
          <w:szCs w:val="32"/>
          <w:highlight w:val="none"/>
          <w:lang w:val="en-US" w:eastAsia="zh-CN" w:bidi="ar-SA"/>
        </w:rPr>
        <w:t>2</w:t>
      </w:r>
      <w:r>
        <w:rPr>
          <w:rFonts w:hint="eastAsia" w:ascii="仿宋_GB2312" w:hAnsi="仿宋_GB2312" w:eastAsia="仿宋_GB2312" w:cs="仿宋_GB2312"/>
          <w:snapToGrid/>
          <w:kern w:val="2"/>
          <w:sz w:val="32"/>
          <w:szCs w:val="32"/>
          <w:u w:val="none"/>
          <w:shd w:val="clear" w:color="auto" w:fill="auto"/>
          <w:lang w:val="en-US" w:eastAsia="zh-CN" w:bidi="ar-SA"/>
        </w:rPr>
        <w:t>、严格落实运营期大气污染防治措施。严格按照《报告表》要求，本项目共设三条生产线，棒状颗粒生产线产生的粉尘经一套布袋除尘器处理，处理后的废气通过</w:t>
      </w:r>
      <w:r>
        <w:rPr>
          <w:rFonts w:hint="eastAsia" w:ascii="Times New Roman" w:hAnsi="Times New Roman" w:eastAsia="仿宋_GB2312" w:cs="Times New Roman"/>
          <w:b w:val="0"/>
          <w:bCs/>
          <w:snapToGrid/>
          <w:kern w:val="2"/>
          <w:sz w:val="32"/>
          <w:szCs w:val="32"/>
          <w:highlight w:val="none"/>
          <w:lang w:val="en-US" w:eastAsia="zh-CN" w:bidi="ar-SA"/>
        </w:rPr>
        <w:t>1</w:t>
      </w:r>
      <w:r>
        <w:rPr>
          <w:rFonts w:hint="eastAsia" w:ascii="仿宋_GB2312" w:hAnsi="仿宋_GB2312" w:eastAsia="仿宋_GB2312" w:cs="仿宋_GB2312"/>
          <w:snapToGrid/>
          <w:kern w:val="2"/>
          <w:sz w:val="32"/>
          <w:szCs w:val="32"/>
          <w:u w:val="none"/>
          <w:shd w:val="clear" w:color="auto" w:fill="auto"/>
          <w:lang w:val="en-US" w:eastAsia="zh-CN" w:bidi="ar-SA"/>
        </w:rPr>
        <w:t>根</w:t>
      </w:r>
      <w:r>
        <w:rPr>
          <w:rFonts w:hint="eastAsia" w:ascii="Times New Roman" w:hAnsi="Times New Roman" w:eastAsia="仿宋_GB2312" w:cs="Times New Roman"/>
          <w:b w:val="0"/>
          <w:bCs/>
          <w:snapToGrid/>
          <w:kern w:val="2"/>
          <w:sz w:val="32"/>
          <w:szCs w:val="32"/>
          <w:highlight w:val="none"/>
          <w:lang w:val="en-US" w:eastAsia="zh-CN" w:bidi="ar-SA"/>
        </w:rPr>
        <w:t>15</w:t>
      </w:r>
      <w:r>
        <w:rPr>
          <w:rFonts w:hint="eastAsia" w:ascii="仿宋_GB2312" w:hAnsi="仿宋_GB2312" w:eastAsia="仿宋_GB2312" w:cs="仿宋_GB2312"/>
          <w:snapToGrid/>
          <w:kern w:val="2"/>
          <w:sz w:val="32"/>
          <w:szCs w:val="32"/>
          <w:u w:val="none"/>
          <w:shd w:val="clear" w:color="auto" w:fill="auto"/>
          <w:lang w:val="en-US" w:eastAsia="zh-CN" w:bidi="ar-SA"/>
        </w:rPr>
        <w:t>m高排气筒（DA</w:t>
      </w:r>
      <w:r>
        <w:rPr>
          <w:rFonts w:hint="eastAsia" w:ascii="Times New Roman" w:hAnsi="Times New Roman" w:eastAsia="仿宋_GB2312" w:cs="Times New Roman"/>
          <w:b w:val="0"/>
          <w:bCs/>
          <w:snapToGrid/>
          <w:kern w:val="2"/>
          <w:sz w:val="32"/>
          <w:szCs w:val="32"/>
          <w:highlight w:val="none"/>
          <w:lang w:val="en-US" w:eastAsia="zh-CN" w:bidi="ar-SA"/>
        </w:rPr>
        <w:t>001</w:t>
      </w:r>
      <w:r>
        <w:rPr>
          <w:rFonts w:hint="eastAsia" w:ascii="仿宋_GB2312" w:hAnsi="仿宋_GB2312" w:eastAsia="仿宋_GB2312" w:cs="仿宋_GB2312"/>
          <w:snapToGrid/>
          <w:kern w:val="2"/>
          <w:sz w:val="32"/>
          <w:szCs w:val="32"/>
          <w:u w:val="none"/>
          <w:shd w:val="clear" w:color="auto" w:fill="auto"/>
          <w:lang w:val="en-US" w:eastAsia="zh-CN" w:bidi="ar-SA"/>
        </w:rPr>
        <w:t>）排放，块状颗粒生产线及饲草生产线共用一套布袋除尘器处理，处理后的废气通过</w:t>
      </w:r>
      <w:r>
        <w:rPr>
          <w:rFonts w:hint="eastAsia" w:ascii="Times New Roman" w:hAnsi="Times New Roman" w:eastAsia="仿宋_GB2312" w:cs="Times New Roman"/>
          <w:b w:val="0"/>
          <w:bCs/>
          <w:snapToGrid/>
          <w:kern w:val="2"/>
          <w:sz w:val="32"/>
          <w:szCs w:val="32"/>
          <w:highlight w:val="none"/>
          <w:lang w:val="en-US" w:eastAsia="zh-CN" w:bidi="ar-SA"/>
        </w:rPr>
        <w:t>1</w:t>
      </w:r>
      <w:r>
        <w:rPr>
          <w:rFonts w:hint="eastAsia" w:ascii="仿宋_GB2312" w:hAnsi="仿宋_GB2312" w:eastAsia="仿宋_GB2312" w:cs="仿宋_GB2312"/>
          <w:snapToGrid/>
          <w:kern w:val="2"/>
          <w:sz w:val="32"/>
          <w:szCs w:val="32"/>
          <w:u w:val="none"/>
          <w:shd w:val="clear" w:color="auto" w:fill="auto"/>
          <w:lang w:val="en-US" w:eastAsia="zh-CN" w:bidi="ar-SA"/>
        </w:rPr>
        <w:t>根</w:t>
      </w:r>
      <w:r>
        <w:rPr>
          <w:rFonts w:hint="eastAsia" w:ascii="Times New Roman" w:hAnsi="Times New Roman" w:eastAsia="仿宋_GB2312" w:cs="Times New Roman"/>
          <w:b w:val="0"/>
          <w:bCs/>
          <w:snapToGrid/>
          <w:kern w:val="2"/>
          <w:sz w:val="32"/>
          <w:szCs w:val="32"/>
          <w:highlight w:val="none"/>
          <w:lang w:val="en-US" w:eastAsia="zh-CN" w:bidi="ar-SA"/>
        </w:rPr>
        <w:t>15</w:t>
      </w:r>
      <w:r>
        <w:rPr>
          <w:rFonts w:hint="eastAsia" w:ascii="仿宋_GB2312" w:hAnsi="仿宋_GB2312" w:eastAsia="仿宋_GB2312" w:cs="仿宋_GB2312"/>
          <w:snapToGrid/>
          <w:kern w:val="2"/>
          <w:sz w:val="32"/>
          <w:szCs w:val="32"/>
          <w:u w:val="none"/>
          <w:shd w:val="clear" w:color="auto" w:fill="auto"/>
          <w:lang w:val="en-US" w:eastAsia="zh-CN" w:bidi="ar-SA"/>
        </w:rPr>
        <w:t>m高排气筒（DA</w:t>
      </w:r>
      <w:r>
        <w:rPr>
          <w:rFonts w:hint="eastAsia" w:ascii="Times New Roman" w:hAnsi="Times New Roman" w:eastAsia="仿宋_GB2312" w:cs="Times New Roman"/>
          <w:b w:val="0"/>
          <w:bCs/>
          <w:snapToGrid/>
          <w:kern w:val="2"/>
          <w:sz w:val="32"/>
          <w:szCs w:val="32"/>
          <w:highlight w:val="none"/>
          <w:lang w:val="en-US" w:eastAsia="zh-CN" w:bidi="ar-SA"/>
        </w:rPr>
        <w:t>001）</w:t>
      </w:r>
      <w:r>
        <w:rPr>
          <w:rFonts w:hint="eastAsia" w:ascii="仿宋_GB2312" w:hAnsi="仿宋_GB2312" w:eastAsia="仿宋_GB2312" w:cs="仿宋_GB2312"/>
          <w:snapToGrid/>
          <w:kern w:val="2"/>
          <w:sz w:val="32"/>
          <w:szCs w:val="32"/>
          <w:u w:val="none"/>
          <w:shd w:val="clear" w:color="auto" w:fill="auto"/>
          <w:lang w:val="en-US" w:eastAsia="zh-CN" w:bidi="ar-SA"/>
        </w:rPr>
        <w:t>排放。颗粒物排放浓度需满足《大气污染物综合排放标准》（</w:t>
      </w:r>
      <w:r>
        <w:rPr>
          <w:rFonts w:hint="default" w:ascii="仿宋_GB2312" w:hAnsi="仿宋_GB2312" w:eastAsia="仿宋_GB2312" w:cs="仿宋_GB2312"/>
          <w:snapToGrid/>
          <w:kern w:val="2"/>
          <w:sz w:val="32"/>
          <w:szCs w:val="32"/>
          <w:u w:val="none"/>
          <w:shd w:val="clear" w:color="auto" w:fill="auto"/>
          <w:lang w:val="en-US" w:eastAsia="zh-CN" w:bidi="ar-SA"/>
        </w:rPr>
        <w:t>GB</w:t>
      </w:r>
      <w:r>
        <w:rPr>
          <w:rFonts w:hint="default" w:ascii="Times New Roman" w:hAnsi="Times New Roman" w:eastAsia="仿宋_GB2312" w:cs="Times New Roman"/>
          <w:b w:val="0"/>
          <w:bCs/>
          <w:snapToGrid/>
          <w:kern w:val="2"/>
          <w:sz w:val="32"/>
          <w:szCs w:val="32"/>
          <w:highlight w:val="none"/>
          <w:lang w:val="en-US" w:eastAsia="zh-CN" w:bidi="ar-SA"/>
        </w:rPr>
        <w:t>16297-1996</w:t>
      </w:r>
      <w:r>
        <w:rPr>
          <w:rFonts w:hint="eastAsia" w:ascii="仿宋_GB2312" w:hAnsi="仿宋_GB2312" w:eastAsia="仿宋_GB2312" w:cs="仿宋_GB2312"/>
          <w:snapToGrid/>
          <w:kern w:val="2"/>
          <w:sz w:val="32"/>
          <w:szCs w:val="32"/>
          <w:u w:val="none"/>
          <w:shd w:val="clear" w:color="auto" w:fill="auto"/>
          <w:lang w:val="en-US" w:eastAsia="zh-CN" w:bidi="ar-SA"/>
        </w:rPr>
        <w:t>）表</w:t>
      </w:r>
      <w:r>
        <w:rPr>
          <w:rFonts w:hint="default" w:ascii="Times New Roman" w:hAnsi="Times New Roman" w:eastAsia="仿宋_GB2312" w:cs="Times New Roman"/>
          <w:b w:val="0"/>
          <w:bCs/>
          <w:snapToGrid/>
          <w:kern w:val="2"/>
          <w:sz w:val="32"/>
          <w:szCs w:val="32"/>
          <w:highlight w:val="none"/>
          <w:lang w:val="en-US" w:eastAsia="zh-CN" w:bidi="ar-SA"/>
        </w:rPr>
        <w:t>2</w:t>
      </w:r>
      <w:r>
        <w:rPr>
          <w:rFonts w:hint="eastAsia" w:ascii="仿宋_GB2312" w:hAnsi="仿宋_GB2312" w:eastAsia="仿宋_GB2312" w:cs="仿宋_GB2312"/>
          <w:snapToGrid/>
          <w:kern w:val="2"/>
          <w:sz w:val="32"/>
          <w:szCs w:val="32"/>
          <w:u w:val="none"/>
          <w:shd w:val="clear" w:color="auto" w:fill="auto"/>
          <w:lang w:val="en-US" w:eastAsia="zh-CN" w:bidi="ar-SA"/>
        </w:rPr>
        <w:t>中的</w:t>
      </w:r>
      <w:r>
        <w:rPr>
          <w:rFonts w:hint="eastAsia" w:ascii="Times New Roman" w:hAnsi="Times New Roman" w:eastAsia="仿宋_GB2312" w:cs="Times New Roman"/>
          <w:b w:val="0"/>
          <w:bCs/>
          <w:snapToGrid/>
          <w:kern w:val="2"/>
          <w:sz w:val="32"/>
          <w:szCs w:val="32"/>
          <w:highlight w:val="none"/>
          <w:lang w:val="en-US" w:eastAsia="zh-CN" w:bidi="ar-SA"/>
        </w:rPr>
        <w:t>120</w:t>
      </w:r>
      <w:r>
        <w:rPr>
          <w:rFonts w:hint="eastAsia" w:ascii="仿宋_GB2312" w:hAnsi="仿宋_GB2312" w:eastAsia="仿宋_GB2312" w:cs="仿宋_GB2312"/>
          <w:snapToGrid/>
          <w:kern w:val="2"/>
          <w:sz w:val="32"/>
          <w:szCs w:val="32"/>
          <w:u w:val="none"/>
          <w:shd w:val="clear" w:color="auto" w:fill="auto"/>
          <w:lang w:val="en-US" w:eastAsia="zh-CN" w:bidi="ar-SA"/>
        </w:rPr>
        <w:t>mg/m³的标准要求。厂区进出口设</w:t>
      </w:r>
      <w:r>
        <w:rPr>
          <w:rFonts w:hint="eastAsia" w:ascii="Times New Roman" w:hAnsi="Times New Roman" w:eastAsia="仿宋_GB2312" w:cs="Times New Roman"/>
          <w:b w:val="0"/>
          <w:bCs/>
          <w:snapToGrid/>
          <w:kern w:val="2"/>
          <w:sz w:val="32"/>
          <w:szCs w:val="32"/>
          <w:highlight w:val="none"/>
          <w:lang w:val="en-US" w:eastAsia="zh-CN" w:bidi="ar-SA"/>
        </w:rPr>
        <w:t>1</w:t>
      </w:r>
      <w:r>
        <w:rPr>
          <w:rFonts w:hint="eastAsia" w:ascii="仿宋_GB2312" w:hAnsi="仿宋_GB2312" w:eastAsia="仿宋_GB2312" w:cs="仿宋_GB2312"/>
          <w:snapToGrid/>
          <w:kern w:val="2"/>
          <w:sz w:val="32"/>
          <w:szCs w:val="32"/>
          <w:u w:val="none"/>
          <w:shd w:val="clear" w:color="auto" w:fill="auto"/>
          <w:lang w:val="en-US" w:eastAsia="zh-CN" w:bidi="ar-SA"/>
        </w:rPr>
        <w:t>座车辆清洗平台对车身及轮胎进行冲洗；厂区道路进行全部硬化，并定期洒水抑尘；减少无组织粉尘排放，厂界无组织排放的颗粒物执行《大气污染物综合排放标准》（</w:t>
      </w:r>
      <w:r>
        <w:rPr>
          <w:rFonts w:hint="default" w:ascii="仿宋_GB2312" w:hAnsi="仿宋_GB2312" w:eastAsia="仿宋_GB2312" w:cs="仿宋_GB2312"/>
          <w:snapToGrid/>
          <w:kern w:val="2"/>
          <w:sz w:val="32"/>
          <w:szCs w:val="32"/>
          <w:u w:val="none"/>
          <w:shd w:val="clear" w:color="auto" w:fill="auto"/>
          <w:lang w:val="en-US" w:eastAsia="zh-CN" w:bidi="ar-SA"/>
        </w:rPr>
        <w:t>GB</w:t>
      </w:r>
      <w:r>
        <w:rPr>
          <w:rFonts w:hint="default" w:ascii="Times New Roman" w:hAnsi="Times New Roman" w:eastAsia="仿宋_GB2312" w:cs="Times New Roman"/>
          <w:b w:val="0"/>
          <w:bCs/>
          <w:snapToGrid/>
          <w:kern w:val="2"/>
          <w:sz w:val="32"/>
          <w:szCs w:val="32"/>
          <w:highlight w:val="none"/>
          <w:lang w:val="en-US" w:eastAsia="zh-CN" w:bidi="ar-SA"/>
        </w:rPr>
        <w:t>16297-1996</w:t>
      </w:r>
      <w:r>
        <w:rPr>
          <w:rFonts w:hint="eastAsia" w:ascii="仿宋_GB2312" w:hAnsi="仿宋_GB2312" w:eastAsia="仿宋_GB2312" w:cs="仿宋_GB2312"/>
          <w:snapToGrid/>
          <w:kern w:val="2"/>
          <w:sz w:val="32"/>
          <w:szCs w:val="32"/>
          <w:u w:val="none"/>
          <w:shd w:val="clear" w:color="auto" w:fill="auto"/>
          <w:lang w:val="en-US" w:eastAsia="zh-CN" w:bidi="ar-SA"/>
        </w:rPr>
        <w:t>）表</w:t>
      </w:r>
      <w:r>
        <w:rPr>
          <w:rFonts w:hint="default" w:ascii="Times New Roman" w:hAnsi="Times New Roman" w:eastAsia="仿宋_GB2312" w:cs="Times New Roman"/>
          <w:b w:val="0"/>
          <w:bCs/>
          <w:snapToGrid/>
          <w:kern w:val="2"/>
          <w:sz w:val="32"/>
          <w:szCs w:val="32"/>
          <w:highlight w:val="none"/>
          <w:lang w:val="en-US" w:eastAsia="zh-CN" w:bidi="ar-SA"/>
        </w:rPr>
        <w:t>2</w:t>
      </w:r>
      <w:r>
        <w:rPr>
          <w:rFonts w:hint="eastAsia" w:ascii="仿宋_GB2312" w:hAnsi="仿宋_GB2312" w:eastAsia="仿宋_GB2312" w:cs="仿宋_GB2312"/>
          <w:snapToGrid/>
          <w:kern w:val="2"/>
          <w:sz w:val="32"/>
          <w:szCs w:val="32"/>
          <w:u w:val="none"/>
          <w:shd w:val="clear" w:color="auto" w:fill="auto"/>
          <w:lang w:val="en-US" w:eastAsia="zh-CN" w:bidi="ar-SA"/>
        </w:rPr>
        <w:t>中的</w:t>
      </w:r>
      <w:r>
        <w:rPr>
          <w:rFonts w:hint="eastAsia" w:ascii="Times New Roman" w:hAnsi="Times New Roman" w:eastAsia="仿宋_GB2312" w:cs="Times New Roman"/>
          <w:b w:val="0"/>
          <w:bCs/>
          <w:snapToGrid/>
          <w:kern w:val="2"/>
          <w:sz w:val="32"/>
          <w:szCs w:val="32"/>
          <w:highlight w:val="none"/>
          <w:lang w:val="en-US" w:eastAsia="zh-CN" w:bidi="ar-SA"/>
        </w:rPr>
        <w:t>1.0</w:t>
      </w:r>
      <w:r>
        <w:rPr>
          <w:rFonts w:hint="eastAsia" w:ascii="仿宋_GB2312" w:hAnsi="仿宋_GB2312" w:eastAsia="仿宋_GB2312" w:cs="仿宋_GB2312"/>
          <w:snapToGrid/>
          <w:kern w:val="2"/>
          <w:sz w:val="32"/>
          <w:szCs w:val="32"/>
          <w:u w:val="none"/>
          <w:shd w:val="clear" w:color="auto" w:fill="auto"/>
          <w:lang w:val="en-US" w:eastAsia="zh-CN" w:bidi="ar-SA"/>
        </w:rPr>
        <w:t>mg/m³的标准要求。</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200"/>
        <w:jc w:val="both"/>
        <w:textAlignment w:val="auto"/>
        <w:rPr>
          <w:rFonts w:hint="eastAsia" w:ascii="仿宋_GB2312" w:hAnsi="仿宋_GB2312" w:eastAsia="仿宋_GB2312" w:cs="仿宋_GB2312"/>
          <w:snapToGrid/>
          <w:kern w:val="2"/>
          <w:sz w:val="32"/>
          <w:szCs w:val="32"/>
          <w:u w:val="none"/>
          <w:shd w:val="clear" w:color="auto" w:fill="auto"/>
          <w:lang w:val="en-US" w:eastAsia="zh-CN" w:bidi="ar-SA"/>
        </w:rPr>
      </w:pPr>
      <w:r>
        <w:rPr>
          <w:rFonts w:hint="eastAsia" w:ascii="Times New Roman" w:hAnsi="Times New Roman" w:eastAsia="仿宋_GB2312" w:cs="Times New Roman"/>
          <w:b w:val="0"/>
          <w:bCs/>
          <w:snapToGrid/>
          <w:kern w:val="2"/>
          <w:sz w:val="32"/>
          <w:szCs w:val="32"/>
          <w:highlight w:val="none"/>
          <w:lang w:val="en-US" w:eastAsia="zh-CN" w:bidi="ar-SA"/>
        </w:rPr>
        <w:t>3</w:t>
      </w:r>
      <w:r>
        <w:rPr>
          <w:rFonts w:hint="eastAsia" w:ascii="仿宋_GB2312" w:hAnsi="仿宋_GB2312" w:eastAsia="仿宋_GB2312" w:cs="仿宋_GB2312"/>
          <w:snapToGrid/>
          <w:kern w:val="2"/>
          <w:sz w:val="32"/>
          <w:szCs w:val="32"/>
          <w:u w:val="none"/>
          <w:shd w:val="clear" w:color="auto" w:fill="auto"/>
          <w:lang w:val="en-US" w:eastAsia="zh-CN" w:bidi="ar-SA"/>
        </w:rPr>
        <w:t>、严格落实运营期废水污染防治措施。洗车废水经沉淀处理后排入循环回用，不得外排；生活废水排入旱厕，定期清掏，不得外排；初期雨水经初期雨水收集池收集后回用于厂区泼洒抑尘，不得外排；严格按环评报告表中确认的防渗措施、防渗要求、防渗部位实施防渗工作，防止对地下水造成影响。</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200"/>
        <w:jc w:val="both"/>
        <w:textAlignment w:val="auto"/>
        <w:rPr>
          <w:rFonts w:hint="eastAsia" w:ascii="仿宋_GB2312" w:hAnsi="仿宋_GB2312" w:eastAsia="仿宋_GB2312" w:cs="仿宋_GB2312"/>
          <w:snapToGrid/>
          <w:kern w:val="2"/>
          <w:sz w:val="32"/>
          <w:szCs w:val="32"/>
          <w:u w:val="none"/>
          <w:shd w:val="clear" w:color="auto" w:fill="auto"/>
          <w:lang w:val="en-US" w:eastAsia="zh-CN" w:bidi="ar-SA"/>
        </w:rPr>
      </w:pPr>
      <w:r>
        <w:rPr>
          <w:rFonts w:hint="eastAsia" w:ascii="Times New Roman" w:hAnsi="Times New Roman" w:eastAsia="仿宋_GB2312" w:cs="Times New Roman"/>
          <w:b w:val="0"/>
          <w:bCs/>
          <w:snapToGrid/>
          <w:kern w:val="2"/>
          <w:sz w:val="32"/>
          <w:szCs w:val="32"/>
          <w:highlight w:val="none"/>
          <w:lang w:val="en-US" w:eastAsia="zh-CN" w:bidi="ar-SA"/>
        </w:rPr>
        <w:t>4</w:t>
      </w:r>
      <w:r>
        <w:rPr>
          <w:rFonts w:hint="eastAsia" w:ascii="仿宋_GB2312" w:hAnsi="仿宋_GB2312" w:eastAsia="仿宋_GB2312" w:cs="仿宋_GB2312"/>
          <w:snapToGrid/>
          <w:kern w:val="2"/>
          <w:sz w:val="32"/>
          <w:szCs w:val="32"/>
          <w:u w:val="none"/>
          <w:shd w:val="clear" w:color="auto" w:fill="auto"/>
          <w:lang w:val="en-US" w:eastAsia="zh-CN" w:bidi="ar-SA"/>
        </w:rPr>
        <w:t>、严格落实运营期噪声污染控制措施。选择低噪声设备，采取密闭、隔声、基础减震等措施，重视操作人员的个人防护，加强运输车辆管理；确保厂界噪声达到《工业企业厂界环境噪声排放标准》(GB</w:t>
      </w:r>
      <w:r>
        <w:rPr>
          <w:rFonts w:hint="eastAsia" w:ascii="Times New Roman" w:hAnsi="Times New Roman" w:eastAsia="仿宋_GB2312" w:cs="Times New Roman"/>
          <w:b w:val="0"/>
          <w:bCs/>
          <w:snapToGrid/>
          <w:kern w:val="2"/>
          <w:sz w:val="32"/>
          <w:szCs w:val="32"/>
          <w:highlight w:val="none"/>
          <w:lang w:val="en-US" w:eastAsia="zh-CN" w:bidi="ar-SA"/>
        </w:rPr>
        <w:t>12348-2008</w:t>
      </w:r>
      <w:r>
        <w:rPr>
          <w:rFonts w:hint="eastAsia" w:ascii="仿宋_GB2312" w:hAnsi="仿宋_GB2312" w:eastAsia="仿宋_GB2312" w:cs="仿宋_GB2312"/>
          <w:snapToGrid/>
          <w:kern w:val="2"/>
          <w:sz w:val="32"/>
          <w:szCs w:val="32"/>
          <w:u w:val="none"/>
          <w:shd w:val="clear" w:color="auto" w:fill="auto"/>
          <w:lang w:val="en-US" w:eastAsia="zh-CN" w:bidi="ar-SA"/>
        </w:rPr>
        <w:t>)中</w:t>
      </w:r>
      <w:r>
        <w:rPr>
          <w:rFonts w:hint="eastAsia" w:ascii="Times New Roman" w:hAnsi="Times New Roman" w:eastAsia="仿宋_GB2312" w:cs="Times New Roman"/>
          <w:b w:val="0"/>
          <w:bCs/>
          <w:snapToGrid/>
          <w:kern w:val="2"/>
          <w:sz w:val="32"/>
          <w:szCs w:val="32"/>
          <w:highlight w:val="none"/>
          <w:lang w:val="en-US" w:eastAsia="zh-CN" w:bidi="ar-SA"/>
        </w:rPr>
        <w:t>2</w:t>
      </w:r>
      <w:r>
        <w:rPr>
          <w:rFonts w:hint="eastAsia" w:ascii="仿宋_GB2312" w:hAnsi="仿宋_GB2312" w:eastAsia="仿宋_GB2312" w:cs="仿宋_GB2312"/>
          <w:snapToGrid/>
          <w:kern w:val="2"/>
          <w:sz w:val="32"/>
          <w:szCs w:val="32"/>
          <w:u w:val="none"/>
          <w:shd w:val="clear" w:color="auto" w:fill="auto"/>
          <w:lang w:val="en-US" w:eastAsia="zh-CN" w:bidi="ar-SA"/>
        </w:rPr>
        <w:t>类标准要求。</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200"/>
        <w:jc w:val="both"/>
        <w:textAlignment w:val="auto"/>
        <w:rPr>
          <w:rFonts w:hint="eastAsia" w:ascii="仿宋_GB2312" w:hAnsi="仿宋_GB2312" w:eastAsia="仿宋_GB2312" w:cs="仿宋_GB2312"/>
          <w:snapToGrid/>
          <w:kern w:val="2"/>
          <w:sz w:val="32"/>
          <w:szCs w:val="32"/>
          <w:u w:val="none"/>
          <w:shd w:val="clear" w:color="auto" w:fill="auto"/>
          <w:lang w:val="en-US" w:eastAsia="zh-CN" w:bidi="ar-SA"/>
        </w:rPr>
      </w:pPr>
      <w:r>
        <w:rPr>
          <w:rFonts w:hint="eastAsia" w:ascii="Times New Roman" w:hAnsi="Times New Roman" w:eastAsia="仿宋_GB2312" w:cs="Times New Roman"/>
          <w:b w:val="0"/>
          <w:bCs/>
          <w:snapToGrid/>
          <w:kern w:val="2"/>
          <w:sz w:val="32"/>
          <w:szCs w:val="32"/>
          <w:highlight w:val="none"/>
          <w:lang w:val="en-US" w:eastAsia="zh-CN" w:bidi="ar-SA"/>
        </w:rPr>
        <w:t>5</w:t>
      </w:r>
      <w:r>
        <w:rPr>
          <w:rFonts w:hint="eastAsia" w:ascii="仿宋_GB2312" w:hAnsi="仿宋_GB2312" w:eastAsia="仿宋_GB2312" w:cs="仿宋_GB2312"/>
          <w:snapToGrid/>
          <w:kern w:val="2"/>
          <w:sz w:val="32"/>
          <w:szCs w:val="32"/>
          <w:u w:val="none"/>
          <w:shd w:val="clear" w:color="auto" w:fill="auto"/>
          <w:lang w:val="en-US" w:eastAsia="zh-CN" w:bidi="ar-SA"/>
        </w:rPr>
        <w:t>、严格落实运营期固废处置措施。建设单位在厂区设置</w:t>
      </w:r>
      <w:r>
        <w:rPr>
          <w:rFonts w:hint="eastAsia" w:ascii="Times New Roman" w:hAnsi="Times New Roman" w:eastAsia="仿宋_GB2312" w:cs="Times New Roman"/>
          <w:b w:val="0"/>
          <w:bCs/>
          <w:snapToGrid/>
          <w:kern w:val="2"/>
          <w:sz w:val="32"/>
          <w:szCs w:val="32"/>
          <w:highlight w:val="none"/>
          <w:lang w:val="en-US" w:eastAsia="zh-CN" w:bidi="ar-SA"/>
        </w:rPr>
        <w:t>1</w:t>
      </w:r>
      <w:r>
        <w:rPr>
          <w:rFonts w:hint="eastAsia" w:ascii="仿宋_GB2312" w:hAnsi="仿宋_GB2312" w:eastAsia="仿宋_GB2312" w:cs="仿宋_GB2312"/>
          <w:snapToGrid/>
          <w:kern w:val="2"/>
          <w:sz w:val="32"/>
          <w:szCs w:val="32"/>
          <w:u w:val="none"/>
          <w:shd w:val="clear" w:color="auto" w:fill="auto"/>
          <w:lang w:val="en-US" w:eastAsia="zh-CN" w:bidi="ar-SA"/>
        </w:rPr>
        <w:t>间</w:t>
      </w:r>
      <w:r>
        <w:rPr>
          <w:rFonts w:hint="eastAsia" w:ascii="Times New Roman" w:hAnsi="Times New Roman" w:eastAsia="仿宋_GB2312" w:cs="Times New Roman"/>
          <w:b w:val="0"/>
          <w:bCs/>
          <w:snapToGrid/>
          <w:kern w:val="2"/>
          <w:sz w:val="32"/>
          <w:szCs w:val="32"/>
          <w:highlight w:val="none"/>
          <w:lang w:val="en-US" w:eastAsia="zh-CN" w:bidi="ar-SA"/>
        </w:rPr>
        <w:t>5</w:t>
      </w:r>
      <w:r>
        <w:rPr>
          <w:rFonts w:hint="eastAsia" w:ascii="仿宋_GB2312" w:hAnsi="仿宋_GB2312" w:eastAsia="仿宋_GB2312" w:cs="仿宋_GB2312"/>
          <w:snapToGrid/>
          <w:kern w:val="2"/>
          <w:sz w:val="32"/>
          <w:szCs w:val="32"/>
          <w:u w:val="none"/>
          <w:shd w:val="clear" w:color="auto" w:fill="auto"/>
          <w:lang w:val="en-US" w:eastAsia="zh-CN" w:bidi="ar-SA"/>
        </w:rPr>
        <w:t>㎡的危废暂存间，项目在运营期及设备维修保养过程中产生的废机油、废棉纱、废手套、废油桶等危险废物暂存于厂区内危废暂存间，最后由有资质的单位进行收集处置；危废暂存间须满足《危险废物贮存污染控制标准》(GB</w:t>
      </w:r>
      <w:r>
        <w:rPr>
          <w:rFonts w:hint="eastAsia" w:ascii="Times New Roman" w:hAnsi="Times New Roman" w:eastAsia="仿宋_GB2312" w:cs="Times New Roman"/>
          <w:b w:val="0"/>
          <w:bCs/>
          <w:snapToGrid/>
          <w:kern w:val="2"/>
          <w:sz w:val="32"/>
          <w:szCs w:val="32"/>
          <w:highlight w:val="none"/>
          <w:lang w:val="en-US" w:eastAsia="zh-CN" w:bidi="ar-SA"/>
        </w:rPr>
        <w:t>18597-2023</w:t>
      </w:r>
      <w:r>
        <w:rPr>
          <w:rFonts w:hint="eastAsia" w:ascii="仿宋_GB2312" w:hAnsi="仿宋_GB2312" w:eastAsia="仿宋_GB2312" w:cs="仿宋_GB2312"/>
          <w:snapToGrid/>
          <w:kern w:val="2"/>
          <w:sz w:val="32"/>
          <w:szCs w:val="32"/>
          <w:u w:val="none"/>
          <w:shd w:val="clear" w:color="auto" w:fill="auto"/>
          <w:lang w:val="en-US" w:eastAsia="zh-CN" w:bidi="ar-SA"/>
        </w:rPr>
        <w:t>)要求。</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200"/>
        <w:jc w:val="both"/>
        <w:textAlignment w:val="auto"/>
        <w:rPr>
          <w:rFonts w:hint="eastAsia" w:ascii="仿宋_GB2312" w:hAnsi="仿宋_GB2312" w:eastAsia="仿宋_GB2312" w:cs="仿宋_GB2312"/>
          <w:snapToGrid/>
          <w:kern w:val="2"/>
          <w:sz w:val="32"/>
          <w:szCs w:val="32"/>
          <w:u w:val="none"/>
          <w:shd w:val="clear" w:color="auto" w:fill="auto"/>
          <w:lang w:val="en-US" w:eastAsia="zh-CN" w:bidi="ar-SA"/>
        </w:rPr>
      </w:pPr>
      <w:r>
        <w:rPr>
          <w:rFonts w:hint="eastAsia" w:ascii="Times New Roman" w:hAnsi="Times New Roman" w:eastAsia="仿宋_GB2312" w:cs="Times New Roman"/>
          <w:b w:val="0"/>
          <w:bCs/>
          <w:snapToGrid/>
          <w:kern w:val="2"/>
          <w:sz w:val="32"/>
          <w:szCs w:val="32"/>
          <w:highlight w:val="none"/>
          <w:lang w:val="en-US" w:eastAsia="zh-CN" w:bidi="ar-SA"/>
        </w:rPr>
        <w:t>6</w:t>
      </w:r>
      <w:r>
        <w:rPr>
          <w:rFonts w:hint="eastAsia" w:ascii="仿宋_GB2312" w:hAnsi="仿宋_GB2312" w:eastAsia="仿宋_GB2312" w:cs="仿宋_GB2312"/>
          <w:snapToGrid/>
          <w:kern w:val="2"/>
          <w:sz w:val="32"/>
          <w:szCs w:val="32"/>
          <w:u w:val="none"/>
          <w:shd w:val="clear" w:color="auto" w:fill="auto"/>
          <w:lang w:val="en-US" w:eastAsia="zh-CN" w:bidi="ar-SA"/>
        </w:rPr>
        <w:t>、落实土壤及地下水污染防治措施。在项目施工期和运营期加强管理，严格遵循地下水环境防治与保护措施以及环评要求。</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200"/>
        <w:jc w:val="both"/>
        <w:textAlignment w:val="auto"/>
        <w:rPr>
          <w:rFonts w:hint="eastAsia" w:ascii="仿宋_GB2312" w:hAnsi="仿宋_GB2312" w:eastAsia="仿宋_GB2312" w:cs="仿宋_GB2312"/>
          <w:snapToGrid/>
          <w:kern w:val="2"/>
          <w:sz w:val="32"/>
          <w:szCs w:val="32"/>
          <w:u w:val="none"/>
          <w:shd w:val="clear" w:color="auto" w:fill="auto"/>
          <w:lang w:val="en-US" w:eastAsia="zh-CN" w:bidi="ar-SA"/>
        </w:rPr>
      </w:pPr>
      <w:r>
        <w:rPr>
          <w:rFonts w:hint="eastAsia" w:ascii="Times New Roman" w:hAnsi="Times New Roman" w:eastAsia="仿宋_GB2312" w:cs="Times New Roman"/>
          <w:b w:val="0"/>
          <w:bCs/>
          <w:snapToGrid/>
          <w:kern w:val="2"/>
          <w:sz w:val="32"/>
          <w:szCs w:val="32"/>
          <w:highlight w:val="none"/>
          <w:lang w:val="en-US" w:eastAsia="zh-CN" w:bidi="ar-SA"/>
        </w:rPr>
        <w:t>7</w:t>
      </w:r>
      <w:r>
        <w:rPr>
          <w:rFonts w:hint="eastAsia" w:ascii="仿宋_GB2312" w:hAnsi="仿宋_GB2312" w:eastAsia="仿宋_GB2312" w:cs="仿宋_GB2312"/>
          <w:snapToGrid/>
          <w:kern w:val="2"/>
          <w:sz w:val="32"/>
          <w:szCs w:val="32"/>
          <w:u w:val="none"/>
          <w:shd w:val="clear" w:color="auto" w:fill="auto"/>
          <w:lang w:val="en-US" w:eastAsia="zh-CN" w:bidi="ar-SA"/>
        </w:rPr>
        <w:t>、落实生态保护措施。运营期加强对厂区附属设施的建设和管理，做好防沙治沙防治措施。</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200"/>
        <w:jc w:val="both"/>
        <w:textAlignment w:val="auto"/>
        <w:rPr>
          <w:rFonts w:hint="eastAsia" w:ascii="仿宋_GB2312" w:hAnsi="仿宋_GB2312" w:eastAsia="仿宋_GB2312" w:cs="仿宋_GB2312"/>
          <w:snapToGrid/>
          <w:kern w:val="2"/>
          <w:sz w:val="32"/>
          <w:szCs w:val="32"/>
          <w:u w:val="none"/>
          <w:shd w:val="clear" w:color="auto" w:fill="auto"/>
          <w:lang w:val="en-US" w:eastAsia="zh-CN" w:bidi="ar-SA"/>
        </w:rPr>
      </w:pPr>
      <w:r>
        <w:rPr>
          <w:rFonts w:hint="eastAsia" w:ascii="Times New Roman" w:hAnsi="Times New Roman" w:eastAsia="仿宋_GB2312" w:cs="Times New Roman"/>
          <w:b w:val="0"/>
          <w:bCs/>
          <w:snapToGrid/>
          <w:kern w:val="2"/>
          <w:sz w:val="32"/>
          <w:szCs w:val="32"/>
          <w:highlight w:val="none"/>
          <w:lang w:val="en-US" w:eastAsia="zh-CN" w:bidi="ar-SA"/>
        </w:rPr>
        <w:t>8</w:t>
      </w:r>
      <w:r>
        <w:rPr>
          <w:rFonts w:hint="eastAsia" w:ascii="仿宋_GB2312" w:hAnsi="仿宋_GB2312" w:eastAsia="仿宋_GB2312" w:cs="仿宋_GB2312"/>
          <w:snapToGrid/>
          <w:kern w:val="2"/>
          <w:sz w:val="32"/>
          <w:szCs w:val="32"/>
          <w:u w:val="none"/>
          <w:shd w:val="clear" w:color="auto" w:fill="auto"/>
          <w:lang w:val="en-US" w:eastAsia="zh-CN" w:bidi="ar-SA"/>
        </w:rPr>
        <w:t>、认真履行制定的环境管理和监测计划。规范排污口建设，确保项目建成后污染物长期稳定达标排放；按期进行自行监测。</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200"/>
        <w:jc w:val="both"/>
        <w:textAlignment w:val="auto"/>
        <w:rPr>
          <w:rFonts w:hint="eastAsia" w:ascii="仿宋_GB2312" w:hAnsi="仿宋_GB2312" w:eastAsia="仿宋_GB2312" w:cs="仿宋_GB2312"/>
          <w:snapToGrid/>
          <w:kern w:val="2"/>
          <w:sz w:val="32"/>
          <w:szCs w:val="32"/>
          <w:u w:val="none"/>
          <w:shd w:val="clear" w:color="auto" w:fill="auto"/>
          <w:lang w:val="en-US" w:eastAsia="zh-CN" w:bidi="ar-SA"/>
        </w:rPr>
      </w:pPr>
      <w:r>
        <w:rPr>
          <w:rFonts w:hint="eastAsia" w:ascii="仿宋_GB2312" w:hAnsi="仿宋_GB2312" w:eastAsia="仿宋_GB2312" w:cs="仿宋_GB2312"/>
          <w:snapToGrid/>
          <w:kern w:val="2"/>
          <w:sz w:val="32"/>
          <w:szCs w:val="32"/>
          <w:u w:val="none"/>
          <w:shd w:val="clear" w:color="auto" w:fill="auto"/>
          <w:lang w:val="en-US" w:eastAsia="zh-CN" w:bidi="ar-SA"/>
        </w:rPr>
        <w:t>四、做好信息公开。在工程施工和运营过程中，应定期发布环境信息，建立畅通的公众参与平台，加强与周边公众的沟通，主动接受社会监督，并及时解决公众担忧的环境问题，满足公众合理的环境诉求。</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200"/>
        <w:jc w:val="both"/>
        <w:textAlignment w:val="auto"/>
        <w:rPr>
          <w:rFonts w:hint="eastAsia" w:ascii="仿宋_GB2312" w:hAnsi="仿宋_GB2312" w:eastAsia="仿宋_GB2312" w:cs="仿宋_GB2312"/>
          <w:snapToGrid/>
          <w:kern w:val="2"/>
          <w:sz w:val="32"/>
          <w:szCs w:val="32"/>
          <w:u w:val="none"/>
          <w:shd w:val="clear" w:color="auto" w:fill="auto"/>
          <w:lang w:val="en-US" w:eastAsia="zh-CN" w:bidi="ar-SA"/>
        </w:rPr>
      </w:pPr>
      <w:r>
        <w:rPr>
          <w:rFonts w:hint="eastAsia" w:ascii="仿宋_GB2312" w:hAnsi="仿宋_GB2312" w:eastAsia="仿宋_GB2312" w:cs="仿宋_GB2312"/>
          <w:snapToGrid/>
          <w:kern w:val="2"/>
          <w:sz w:val="32"/>
          <w:szCs w:val="32"/>
          <w:u w:val="none"/>
          <w:shd w:val="clear" w:color="auto" w:fill="auto"/>
          <w:lang w:val="en-US" w:eastAsia="zh-CN" w:bidi="ar-SA"/>
        </w:rPr>
        <w:t>五、落实污染防治设施必须与主体工程同时设计、同时施工、同时投产使用的“三同时”制度，项目建成后，必须按规定程序实施分阶段竣工环境保护验收；如项目的性质、规模、地点、采用的生产工艺或者防治污染、防止生态破坏的措施发生重大变动的，应当重新报批建设项目环境影响评价文件。</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200"/>
        <w:jc w:val="both"/>
        <w:textAlignment w:val="auto"/>
        <w:rPr>
          <w:rFonts w:hint="eastAsia" w:ascii="仿宋_GB2312" w:hAnsi="仿宋_GB2312" w:eastAsia="仿宋_GB2312" w:cs="仿宋_GB2312"/>
          <w:snapToGrid/>
          <w:kern w:val="2"/>
          <w:sz w:val="32"/>
          <w:szCs w:val="32"/>
          <w:u w:val="none"/>
          <w:shd w:val="clear" w:color="auto" w:fill="auto"/>
          <w:lang w:val="en-US" w:eastAsia="zh-CN" w:bidi="ar-SA"/>
        </w:rPr>
      </w:pPr>
      <w:r>
        <w:rPr>
          <w:rFonts w:hint="eastAsia" w:ascii="仿宋_GB2312" w:hAnsi="仿宋_GB2312" w:eastAsia="仿宋_GB2312" w:cs="仿宋_GB2312"/>
          <w:snapToGrid/>
          <w:kern w:val="2"/>
          <w:sz w:val="32"/>
          <w:szCs w:val="32"/>
          <w:u w:val="none"/>
          <w:shd w:val="clear" w:color="auto" w:fill="auto"/>
          <w:lang w:val="en-US" w:eastAsia="zh-CN" w:bidi="ar-SA"/>
        </w:rPr>
        <w:t>六、依据《山西省一枚印章管审批条例》、《忻州市相 对集中行政许可权改革实施方案》、《中共繁峙县委办公室 繁峙县人民政府办公室关于印发繁峙县相对集中行政许可权改革实施方案的通知》，你公司应主动接受各级生态环境行政主管部门的监督检查。忻州市生态环境局繁峙分局负责项目的现场环境监管及环境监督检查工作，确保各项环保措施按《报告表》及本批复要求落实到位。</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napToGrid/>
          <w:kern w:val="2"/>
          <w:sz w:val="32"/>
          <w:szCs w:val="32"/>
          <w:u w:val="none"/>
          <w:shd w:val="clear" w:color="auto" w:fill="auto"/>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napToGrid/>
          <w:kern w:val="2"/>
          <w:sz w:val="32"/>
          <w:szCs w:val="32"/>
          <w:u w:val="none"/>
          <w:shd w:val="clear" w:color="auto" w:fill="auto"/>
          <w:lang w:val="en-US" w:eastAsia="zh-CN" w:bidi="ar-SA"/>
        </w:rPr>
      </w:pPr>
    </w:p>
    <w:p>
      <w:pPr>
        <w:keepNext w:val="0"/>
        <w:keepLines w:val="0"/>
        <w:pageBreakBefore w:val="0"/>
        <w:widowControl/>
        <w:kinsoku/>
        <w:wordWrap/>
        <w:overflowPunct w:val="0"/>
        <w:topLinePunct w:val="0"/>
        <w:autoSpaceDE w:val="0"/>
        <w:autoSpaceDN w:val="0"/>
        <w:bidi w:val="0"/>
        <w:adjustRightInd w:val="0"/>
        <w:snapToGrid w:val="0"/>
        <w:spacing w:before="2" w:line="365" w:lineRule="auto"/>
        <w:ind w:right="296"/>
        <w:jc w:val="right"/>
        <w:textAlignment w:val="baseline"/>
        <w:rPr>
          <w:rFonts w:ascii="仿宋" w:hAnsi="仿宋" w:eastAsia="仿宋" w:cs="仿宋"/>
          <w:color w:val="FF0000"/>
          <w:spacing w:val="14"/>
          <w:sz w:val="31"/>
          <w:szCs w:val="31"/>
        </w:rPr>
      </w:pPr>
    </w:p>
    <w:p>
      <w:pPr>
        <w:keepNext w:val="0"/>
        <w:keepLines w:val="0"/>
        <w:pageBreakBefore w:val="0"/>
        <w:widowControl/>
        <w:kinsoku/>
        <w:wordWrap/>
        <w:overflowPunct w:val="0"/>
        <w:topLinePunct w:val="0"/>
        <w:autoSpaceDE w:val="0"/>
        <w:autoSpaceDN w:val="0"/>
        <w:bidi w:val="0"/>
        <w:adjustRightInd w:val="0"/>
        <w:snapToGrid w:val="0"/>
        <w:spacing w:before="2" w:line="365" w:lineRule="auto"/>
        <w:ind w:right="296"/>
        <w:jc w:val="both"/>
        <w:textAlignment w:val="baseline"/>
        <w:rPr>
          <w:rFonts w:hint="eastAsia" w:ascii="仿宋" w:hAnsi="仿宋" w:eastAsia="仿宋" w:cs="仿宋"/>
          <w:color w:val="FF0000"/>
          <w:spacing w:val="14"/>
          <w:sz w:val="31"/>
          <w:szCs w:val="31"/>
          <w:lang w:eastAsia="zh-CN"/>
        </w:rPr>
      </w:pPr>
    </w:p>
    <w:p>
      <w:pPr>
        <w:keepNext w:val="0"/>
        <w:keepLines w:val="0"/>
        <w:pageBreakBefore w:val="0"/>
        <w:widowControl/>
        <w:kinsoku/>
        <w:wordWrap/>
        <w:overflowPunct w:val="0"/>
        <w:topLinePunct w:val="0"/>
        <w:autoSpaceDE w:val="0"/>
        <w:autoSpaceDN w:val="0"/>
        <w:bidi w:val="0"/>
        <w:adjustRightInd w:val="0"/>
        <w:snapToGrid w:val="0"/>
        <w:spacing w:before="2" w:line="365" w:lineRule="auto"/>
        <w:ind w:right="296"/>
        <w:jc w:val="right"/>
        <w:textAlignment w:val="baseline"/>
        <w:rPr>
          <w:rFonts w:ascii="仿宋" w:hAnsi="仿宋" w:eastAsia="仿宋" w:cs="仿宋"/>
          <w:color w:val="FF0000"/>
          <w:spacing w:val="14"/>
          <w:sz w:val="31"/>
          <w:szCs w:val="31"/>
        </w:rPr>
      </w:pPr>
    </w:p>
    <w:p>
      <w:pPr>
        <w:pStyle w:val="2"/>
        <w:rPr>
          <w:rFonts w:hint="eastAsia" w:ascii="仿宋" w:hAnsi="仿宋" w:eastAsia="仿宋" w:cs="仿宋"/>
          <w:color w:val="auto"/>
          <w:spacing w:val="14"/>
          <w:sz w:val="31"/>
          <w:szCs w:val="31"/>
          <w:lang w:eastAsia="zh-CN"/>
        </w:rPr>
      </w:pPr>
    </w:p>
    <w:p>
      <w:pPr>
        <w:pStyle w:val="2"/>
        <w:rPr>
          <w:rFonts w:hint="eastAsia" w:ascii="仿宋_GB2312" w:hAnsi="仿宋_GB2312" w:eastAsia="仿宋_GB2312" w:cs="仿宋_GB2312"/>
          <w:snapToGrid/>
          <w:kern w:val="2"/>
          <w:sz w:val="32"/>
          <w:szCs w:val="32"/>
          <w:u w:val="none"/>
          <w:shd w:val="clear" w:color="auto" w:fill="auto"/>
          <w:lang w:val="en-US" w:eastAsia="zh-CN" w:bidi="ar-SA"/>
        </w:rPr>
      </w:pPr>
      <w:r>
        <w:rPr>
          <w:rFonts w:hint="eastAsia" w:ascii="仿宋_GB2312" w:hAnsi="仿宋_GB2312" w:eastAsia="仿宋_GB2312" w:cs="仿宋_GB2312"/>
          <w:snapToGrid/>
          <w:kern w:val="2"/>
          <w:sz w:val="32"/>
          <w:szCs w:val="32"/>
          <w:u w:val="none"/>
          <w:shd w:val="clear" w:color="auto" w:fill="auto"/>
          <w:lang w:val="en-US" w:eastAsia="zh-CN" w:bidi="ar-SA"/>
        </w:rPr>
        <w:t>（此页无正文）</w:t>
      </w:r>
    </w:p>
    <w:p>
      <w:pPr>
        <w:pStyle w:val="2"/>
        <w:rPr>
          <w:rFonts w:ascii="仿宋" w:hAnsi="仿宋" w:eastAsia="仿宋" w:cs="仿宋"/>
          <w:color w:val="FF0000"/>
          <w:spacing w:val="14"/>
          <w:sz w:val="31"/>
          <w:szCs w:val="31"/>
        </w:rPr>
      </w:pPr>
    </w:p>
    <w:p>
      <w:pPr>
        <w:pStyle w:val="2"/>
        <w:rPr>
          <w:rFonts w:ascii="仿宋" w:hAnsi="仿宋" w:eastAsia="仿宋" w:cs="仿宋"/>
          <w:color w:val="FF0000"/>
          <w:spacing w:val="14"/>
          <w:sz w:val="31"/>
          <w:szCs w:val="31"/>
        </w:rPr>
      </w:pPr>
    </w:p>
    <w:p>
      <w:pPr>
        <w:pStyle w:val="2"/>
        <w:rPr>
          <w:rFonts w:ascii="仿宋" w:hAnsi="仿宋" w:eastAsia="仿宋" w:cs="仿宋"/>
          <w:color w:val="FF0000"/>
          <w:spacing w:val="14"/>
          <w:sz w:val="31"/>
          <w:szCs w:val="31"/>
        </w:rPr>
      </w:pPr>
    </w:p>
    <w:p>
      <w:pPr>
        <w:pStyle w:val="2"/>
        <w:rPr>
          <w:rFonts w:ascii="仿宋" w:hAnsi="仿宋" w:eastAsia="仿宋" w:cs="仿宋"/>
          <w:color w:val="FF0000"/>
          <w:spacing w:val="14"/>
          <w:sz w:val="31"/>
          <w:szCs w:val="31"/>
        </w:rPr>
      </w:pPr>
    </w:p>
    <w:p>
      <w:pPr>
        <w:pStyle w:val="2"/>
        <w:rPr>
          <w:rFonts w:ascii="仿宋" w:hAnsi="仿宋" w:eastAsia="仿宋" w:cs="仿宋"/>
          <w:color w:val="FF0000"/>
          <w:spacing w:val="14"/>
          <w:sz w:val="31"/>
          <w:szCs w:val="31"/>
        </w:rPr>
      </w:pPr>
    </w:p>
    <w:p>
      <w:pPr>
        <w:pStyle w:val="2"/>
        <w:rPr>
          <w:rFonts w:ascii="仿宋" w:hAnsi="仿宋" w:eastAsia="仿宋" w:cs="仿宋"/>
          <w:color w:val="FF0000"/>
          <w:spacing w:val="14"/>
          <w:sz w:val="31"/>
          <w:szCs w:val="31"/>
        </w:rPr>
      </w:pPr>
    </w:p>
    <w:p>
      <w:pPr>
        <w:pStyle w:val="2"/>
        <w:ind w:left="0" w:leftChars="0" w:firstLine="0" w:firstLineChars="0"/>
        <w:rPr>
          <w:rFonts w:ascii="仿宋" w:hAnsi="仿宋" w:eastAsia="仿宋" w:cs="仿宋"/>
          <w:color w:val="FF0000"/>
          <w:spacing w:val="14"/>
          <w:sz w:val="31"/>
          <w:szCs w:val="31"/>
        </w:rPr>
      </w:pPr>
    </w:p>
    <w:p>
      <w:pPr>
        <w:keepNext w:val="0"/>
        <w:keepLines w:val="0"/>
        <w:pageBreakBefore w:val="0"/>
        <w:widowControl/>
        <w:kinsoku/>
        <w:wordWrap/>
        <w:overflowPunct w:val="0"/>
        <w:topLinePunct w:val="0"/>
        <w:autoSpaceDE w:val="0"/>
        <w:autoSpaceDN w:val="0"/>
        <w:bidi w:val="0"/>
        <w:adjustRightInd w:val="0"/>
        <w:snapToGrid w:val="0"/>
        <w:spacing w:before="2" w:line="365" w:lineRule="auto"/>
        <w:ind w:right="296"/>
        <w:jc w:val="both"/>
        <w:textAlignment w:val="baseline"/>
        <w:rPr>
          <w:rFonts w:ascii="仿宋" w:hAnsi="仿宋" w:eastAsia="仿宋" w:cs="仿宋"/>
          <w:color w:val="FF0000"/>
          <w:spacing w:val="14"/>
          <w:sz w:val="31"/>
          <w:szCs w:val="31"/>
        </w:rPr>
      </w:pPr>
    </w:p>
    <w:p>
      <w:pPr>
        <w:keepNext w:val="0"/>
        <w:keepLines w:val="0"/>
        <w:pageBreakBefore w:val="0"/>
        <w:widowControl w:val="0"/>
        <w:kinsoku/>
        <w:wordWrap/>
        <w:overflowPunct/>
        <w:topLinePunct w:val="0"/>
        <w:autoSpaceDE/>
        <w:autoSpaceDN/>
        <w:bidi w:val="0"/>
        <w:adjustRightInd/>
        <w:snapToGrid/>
        <w:spacing w:line="600" w:lineRule="exact"/>
        <w:ind w:firstLine="4560" w:firstLineChars="1500"/>
        <w:jc w:val="both"/>
        <w:textAlignment w:val="auto"/>
        <w:rPr>
          <w:rFonts w:hint="eastAsia" w:ascii="仿宋_GB2312" w:hAnsi="仿宋_GB2312" w:eastAsia="仿宋_GB2312" w:cs="仿宋_GB2312"/>
          <w:snapToGrid/>
          <w:kern w:val="2"/>
          <w:sz w:val="32"/>
          <w:szCs w:val="32"/>
          <w:u w:val="none"/>
          <w:shd w:val="clear" w:color="auto" w:fill="auto"/>
          <w:lang w:val="en-US" w:eastAsia="zh-CN" w:bidi="ar-SA"/>
        </w:rPr>
      </w:pPr>
      <w:r>
        <w:rPr>
          <w:rFonts w:hint="eastAsia" w:ascii="仿宋_GB2312" w:hAnsi="仿宋_GB2312" w:eastAsia="仿宋_GB2312" w:cs="仿宋_GB2312"/>
          <w:snapToGrid/>
          <w:kern w:val="2"/>
          <w:sz w:val="32"/>
          <w:szCs w:val="32"/>
          <w:u w:val="none"/>
          <w:shd w:val="clear" w:color="auto" w:fill="auto"/>
          <w:lang w:val="en-US" w:eastAsia="zh-CN" w:bidi="ar-SA"/>
        </w:rPr>
        <w:t>繁峙县行政审批服务管理局</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200"/>
        <w:jc w:val="both"/>
        <w:textAlignment w:val="auto"/>
        <w:rPr>
          <w:rFonts w:hint="eastAsia" w:ascii="仿宋_GB2312" w:hAnsi="仿宋_GB2312" w:eastAsia="仿宋_GB2312" w:cs="仿宋_GB2312"/>
          <w:snapToGrid/>
          <w:kern w:val="2"/>
          <w:sz w:val="32"/>
          <w:szCs w:val="32"/>
          <w:u w:val="none"/>
          <w:shd w:val="clear" w:color="auto" w:fill="auto"/>
          <w:lang w:val="en-US" w:eastAsia="zh-CN" w:bidi="ar-SA"/>
        </w:rPr>
      </w:pPr>
      <w:r>
        <w:rPr>
          <w:rFonts w:hint="eastAsia" w:ascii="仿宋_GB2312" w:hAnsi="仿宋_GB2312" w:eastAsia="仿宋_GB2312" w:cs="仿宋_GB2312"/>
          <w:snapToGrid/>
          <w:kern w:val="2"/>
          <w:sz w:val="32"/>
          <w:szCs w:val="32"/>
          <w:u w:val="none"/>
          <w:shd w:val="clear" w:color="auto" w:fill="auto"/>
          <w:lang w:val="en-US" w:eastAsia="zh-CN" w:bidi="ar-SA"/>
        </w:rPr>
        <w:t xml:space="preserve">                              </w:t>
      </w:r>
      <w:r>
        <w:rPr>
          <w:rFonts w:hint="default" w:ascii="Times New Roman" w:hAnsi="Times New Roman" w:eastAsia="仿宋_GB2312" w:cs="Times New Roman"/>
          <w:snapToGrid/>
          <w:kern w:val="2"/>
          <w:sz w:val="32"/>
          <w:szCs w:val="32"/>
          <w:u w:val="none"/>
          <w:shd w:val="clear" w:color="auto" w:fill="auto"/>
          <w:lang w:val="en-US" w:eastAsia="zh-CN" w:bidi="ar-SA"/>
        </w:rPr>
        <w:t xml:space="preserve"> 2023</w:t>
      </w:r>
      <w:r>
        <w:rPr>
          <w:rFonts w:hint="eastAsia" w:ascii="仿宋_GB2312" w:hAnsi="仿宋_GB2312" w:eastAsia="仿宋_GB2312" w:cs="仿宋_GB2312"/>
          <w:snapToGrid/>
          <w:kern w:val="2"/>
          <w:sz w:val="32"/>
          <w:szCs w:val="32"/>
          <w:u w:val="none"/>
          <w:shd w:val="clear" w:color="auto" w:fill="auto"/>
          <w:lang w:val="en-US" w:eastAsia="zh-CN" w:bidi="ar-SA"/>
        </w:rPr>
        <w:t>年</w:t>
      </w:r>
      <w:r>
        <w:rPr>
          <w:rFonts w:hint="eastAsia" w:ascii="Times New Roman" w:hAnsi="Times New Roman" w:eastAsia="仿宋_GB2312" w:cs="Times New Roman"/>
          <w:snapToGrid/>
          <w:kern w:val="2"/>
          <w:sz w:val="32"/>
          <w:szCs w:val="32"/>
          <w:u w:val="none"/>
          <w:shd w:val="clear" w:color="auto" w:fill="auto"/>
          <w:lang w:val="en-US" w:eastAsia="zh-CN" w:bidi="ar-SA"/>
        </w:rPr>
        <w:t>4</w:t>
      </w:r>
      <w:r>
        <w:rPr>
          <w:rFonts w:hint="eastAsia" w:ascii="仿宋_GB2312" w:hAnsi="仿宋_GB2312" w:eastAsia="仿宋_GB2312" w:cs="仿宋_GB2312"/>
          <w:snapToGrid/>
          <w:kern w:val="2"/>
          <w:sz w:val="32"/>
          <w:szCs w:val="32"/>
          <w:u w:val="none"/>
          <w:shd w:val="clear" w:color="auto" w:fill="auto"/>
          <w:lang w:val="en-US" w:eastAsia="zh-CN" w:bidi="ar-SA"/>
        </w:rPr>
        <w:t>月</w:t>
      </w:r>
      <w:r>
        <w:rPr>
          <w:rFonts w:hint="eastAsia" w:ascii="Times New Roman" w:hAnsi="Times New Roman" w:eastAsia="仿宋_GB2312" w:cs="Times New Roman"/>
          <w:snapToGrid/>
          <w:kern w:val="2"/>
          <w:sz w:val="32"/>
          <w:szCs w:val="32"/>
          <w:u w:val="none"/>
          <w:shd w:val="clear" w:color="auto" w:fill="auto"/>
          <w:lang w:val="en-US" w:eastAsia="zh-CN" w:bidi="ar-SA"/>
        </w:rPr>
        <w:t>14</w:t>
      </w:r>
      <w:r>
        <w:rPr>
          <w:rFonts w:hint="eastAsia" w:ascii="仿宋_GB2312" w:hAnsi="仿宋_GB2312" w:eastAsia="仿宋_GB2312" w:cs="仿宋_GB2312"/>
          <w:snapToGrid/>
          <w:kern w:val="2"/>
          <w:sz w:val="32"/>
          <w:szCs w:val="32"/>
          <w:u w:val="none"/>
          <w:shd w:val="clear" w:color="auto" w:fill="auto"/>
          <w:lang w:val="en-US" w:eastAsia="zh-CN" w:bidi="ar-SA"/>
        </w:rPr>
        <w:t>日</w:t>
      </w:r>
    </w:p>
    <w:p>
      <w:pPr>
        <w:keepNext w:val="0"/>
        <w:keepLines w:val="0"/>
        <w:pageBreakBefore w:val="0"/>
        <w:widowControl/>
        <w:kinsoku/>
        <w:wordWrap/>
        <w:overflowPunct w:val="0"/>
        <w:topLinePunct w:val="0"/>
        <w:autoSpaceDE w:val="0"/>
        <w:autoSpaceDN w:val="0"/>
        <w:bidi w:val="0"/>
        <w:adjustRightInd w:val="0"/>
        <w:snapToGrid w:val="0"/>
        <w:spacing w:line="205" w:lineRule="exact"/>
        <w:textAlignment w:val="baseline"/>
        <w:rPr>
          <w:color w:val="auto"/>
        </w:rPr>
      </w:pPr>
    </w:p>
    <w:tbl>
      <w:tblPr>
        <w:tblStyle w:val="13"/>
        <w:tblpPr w:leftFromText="180" w:rightFromText="180" w:vertAnchor="text" w:horzAnchor="page" w:tblpX="1463" w:tblpY="5088"/>
        <w:tblOverlap w:val="never"/>
        <w:tblW w:w="8720" w:type="dxa"/>
        <w:tblInd w:w="0"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8720"/>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47" w:hRule="atLeast"/>
        </w:trPr>
        <w:tc>
          <w:tcPr>
            <w:tcW w:w="8720" w:type="dxa"/>
            <w:tcBorders>
              <w:top w:val="single" w:color="000000" w:sz="2" w:space="0"/>
              <w:bottom w:val="single" w:color="000000" w:sz="2" w:space="0"/>
            </w:tcBorders>
            <w:vAlign w:val="top"/>
          </w:tcPr>
          <w:p>
            <w:pPr>
              <w:keepNext w:val="0"/>
              <w:keepLines w:val="0"/>
              <w:pageBreakBefore w:val="0"/>
              <w:widowControl/>
              <w:kinsoku/>
              <w:wordWrap/>
              <w:overflowPunct w:val="0"/>
              <w:topLinePunct w:val="0"/>
              <w:autoSpaceDE w:val="0"/>
              <w:autoSpaceDN w:val="0"/>
              <w:bidi w:val="0"/>
              <w:adjustRightInd w:val="0"/>
              <w:snapToGrid w:val="0"/>
              <w:spacing w:before="116" w:line="218" w:lineRule="auto"/>
              <w:ind w:left="122"/>
              <w:textAlignment w:val="baseline"/>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pacing w:val="-1"/>
                <w:sz w:val="28"/>
                <w:szCs w:val="28"/>
              </w:rPr>
              <w:t>抄送：忻州市生态环境局繁峙分</w:t>
            </w:r>
            <w:r>
              <w:rPr>
                <w:rFonts w:hint="eastAsia" w:ascii="仿宋_GB2312" w:hAnsi="仿宋_GB2312" w:eastAsia="仿宋_GB2312" w:cs="仿宋_GB2312"/>
                <w:color w:val="auto"/>
                <w:sz w:val="28"/>
                <w:szCs w:val="28"/>
              </w:rPr>
              <w:t>局，</w:t>
            </w:r>
            <w:r>
              <w:rPr>
                <w:rFonts w:hint="eastAsia" w:ascii="仿宋_GB2312" w:hAnsi="仿宋_GB2312" w:eastAsia="仿宋_GB2312" w:cs="仿宋_GB2312"/>
                <w:color w:val="auto"/>
                <w:sz w:val="28"/>
                <w:szCs w:val="28"/>
                <w:lang w:eastAsia="zh-CN"/>
              </w:rPr>
              <w:t>山西林海博通环保科技有限公司</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87" w:hRule="atLeast"/>
        </w:trPr>
        <w:tc>
          <w:tcPr>
            <w:tcW w:w="8720" w:type="dxa"/>
            <w:tcBorders>
              <w:top w:val="single" w:color="000000" w:sz="2" w:space="0"/>
              <w:bottom w:val="single" w:color="000000" w:sz="2" w:space="0"/>
            </w:tcBorders>
            <w:vAlign w:val="top"/>
          </w:tcPr>
          <w:p>
            <w:pPr>
              <w:keepNext w:val="0"/>
              <w:keepLines w:val="0"/>
              <w:pageBreakBefore w:val="0"/>
              <w:widowControl/>
              <w:kinsoku/>
              <w:wordWrap/>
              <w:overflowPunct w:val="0"/>
              <w:topLinePunct w:val="0"/>
              <w:autoSpaceDE w:val="0"/>
              <w:autoSpaceDN w:val="0"/>
              <w:bidi w:val="0"/>
              <w:adjustRightInd w:val="0"/>
              <w:snapToGrid w:val="0"/>
              <w:spacing w:before="63" w:line="209" w:lineRule="auto"/>
              <w:ind w:left="131"/>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6"/>
                <w:sz w:val="28"/>
                <w:szCs w:val="28"/>
              </w:rPr>
              <w:t>繁</w:t>
            </w:r>
            <w:r>
              <w:rPr>
                <w:rFonts w:hint="eastAsia" w:ascii="仿宋_GB2312" w:hAnsi="仿宋_GB2312" w:eastAsia="仿宋_GB2312" w:cs="仿宋_GB2312"/>
                <w:color w:val="auto"/>
                <w:spacing w:val="-5"/>
                <w:sz w:val="28"/>
                <w:szCs w:val="28"/>
              </w:rPr>
              <w:t>峙</w:t>
            </w:r>
            <w:r>
              <w:rPr>
                <w:rFonts w:hint="eastAsia" w:ascii="仿宋_GB2312" w:hAnsi="仿宋_GB2312" w:eastAsia="仿宋_GB2312" w:cs="仿宋_GB2312"/>
                <w:color w:val="auto"/>
                <w:spacing w:val="-3"/>
                <w:sz w:val="28"/>
                <w:szCs w:val="28"/>
              </w:rPr>
              <w:t xml:space="preserve">县行政审批服务管理局               </w:t>
            </w:r>
            <w:r>
              <w:rPr>
                <w:rFonts w:hint="eastAsia" w:ascii="仿宋_GB2312" w:hAnsi="仿宋_GB2312" w:eastAsia="仿宋_GB2312" w:cs="仿宋_GB2312"/>
                <w:color w:val="auto"/>
                <w:spacing w:val="-3"/>
                <w:sz w:val="28"/>
                <w:szCs w:val="28"/>
                <w:lang w:val="en-US" w:eastAsia="zh-CN"/>
              </w:rPr>
              <w:t xml:space="preserve">    </w:t>
            </w:r>
            <w:r>
              <w:rPr>
                <w:rFonts w:hint="eastAsia" w:ascii="仿宋_GB2312" w:hAnsi="仿宋_GB2312" w:eastAsia="仿宋_GB2312" w:cs="仿宋_GB2312"/>
                <w:color w:val="auto"/>
                <w:spacing w:val="-3"/>
                <w:sz w:val="28"/>
                <w:szCs w:val="28"/>
              </w:rPr>
              <w:t xml:space="preserve"> </w:t>
            </w:r>
            <w:r>
              <w:rPr>
                <w:rFonts w:hint="default" w:ascii="Times New Roman" w:hAnsi="Times New Roman" w:eastAsia="仿宋_GB2312" w:cs="Times New Roman"/>
                <w:snapToGrid/>
                <w:kern w:val="2"/>
                <w:sz w:val="28"/>
                <w:szCs w:val="28"/>
                <w:u w:val="none"/>
                <w:shd w:val="clear" w:color="auto" w:fill="auto"/>
                <w:lang w:val="en-US" w:eastAsia="zh-CN" w:bidi="ar-SA"/>
              </w:rPr>
              <w:t>2023</w:t>
            </w:r>
            <w:r>
              <w:rPr>
                <w:rFonts w:hint="eastAsia" w:ascii="仿宋_GB2312" w:hAnsi="仿宋_GB2312" w:eastAsia="仿宋_GB2312" w:cs="仿宋_GB2312"/>
                <w:color w:val="auto"/>
                <w:spacing w:val="-3"/>
                <w:sz w:val="28"/>
                <w:szCs w:val="28"/>
              </w:rPr>
              <w:t>年</w:t>
            </w:r>
            <w:r>
              <w:rPr>
                <w:rFonts w:hint="eastAsia" w:ascii="Times New Roman" w:hAnsi="Times New Roman" w:eastAsia="仿宋_GB2312" w:cs="Times New Roman"/>
                <w:snapToGrid/>
                <w:kern w:val="2"/>
                <w:sz w:val="28"/>
                <w:szCs w:val="28"/>
                <w:u w:val="none"/>
                <w:shd w:val="clear" w:color="auto" w:fill="auto"/>
                <w:lang w:val="en-US" w:eastAsia="zh-CN" w:bidi="ar-SA"/>
              </w:rPr>
              <w:t>4</w:t>
            </w:r>
            <w:r>
              <w:rPr>
                <w:rFonts w:hint="eastAsia" w:ascii="仿宋_GB2312" w:hAnsi="仿宋_GB2312" w:eastAsia="仿宋_GB2312" w:cs="仿宋_GB2312"/>
                <w:color w:val="auto"/>
                <w:spacing w:val="-3"/>
                <w:sz w:val="28"/>
                <w:szCs w:val="28"/>
              </w:rPr>
              <w:t>月</w:t>
            </w:r>
            <w:r>
              <w:rPr>
                <w:rFonts w:hint="eastAsia" w:ascii="Times New Roman" w:hAnsi="Times New Roman" w:eastAsia="仿宋_GB2312" w:cs="Times New Roman"/>
                <w:snapToGrid/>
                <w:kern w:val="2"/>
                <w:sz w:val="28"/>
                <w:szCs w:val="28"/>
                <w:u w:val="none"/>
                <w:shd w:val="clear" w:color="auto" w:fill="auto"/>
                <w:lang w:val="en-US" w:eastAsia="zh-CN" w:bidi="ar-SA"/>
              </w:rPr>
              <w:t>14</w:t>
            </w:r>
            <w:r>
              <w:rPr>
                <w:rFonts w:hint="eastAsia" w:ascii="仿宋_GB2312" w:hAnsi="仿宋_GB2312" w:eastAsia="仿宋_GB2312" w:cs="仿宋_GB2312"/>
                <w:color w:val="auto"/>
                <w:spacing w:val="-3"/>
                <w:sz w:val="28"/>
                <w:szCs w:val="28"/>
              </w:rPr>
              <w:t>日印发</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sectPr>
      <w:footerReference r:id="rId3" w:type="default"/>
      <w:pgSz w:w="11906" w:h="16838"/>
      <w:pgMar w:top="1814" w:right="1701" w:bottom="1757" w:left="1701" w:header="851" w:footer="1400" w:gutter="0"/>
      <w:pgBorders>
        <w:top w:val="none" w:sz="0" w:space="0"/>
        <w:left w:val="none" w:sz="0" w:space="0"/>
        <w:bottom w:val="none" w:sz="0" w:space="0"/>
        <w:right w:val="none" w:sz="0" w:space="0"/>
      </w:pgBorders>
      <w:cols w:space="0" w:num="1"/>
      <w:rtlGutter w:val="0"/>
      <w:docGrid w:type="linesAndChars" w:linePitch="584" w:charSpace="-3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中文正文">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embedRegular r:id="rId1" w:fontKey="{EBAA9BAB-D925-4694-A5BB-AE2683654DFB}"/>
  </w:font>
  <w:font w:name="方正小标宋_GBK">
    <w:panose1 w:val="02000000000000000000"/>
    <w:charset w:val="86"/>
    <w:family w:val="auto"/>
    <w:pitch w:val="default"/>
    <w:sig w:usb0="00000001" w:usb1="080E0000" w:usb2="00000000" w:usb3="00000000" w:csb0="00040000" w:csb1="00000000"/>
    <w:embedRegular r:id="rId2" w:fontKey="{D78436FE-A0B1-46C3-8E3F-545C86A7521D}"/>
  </w:font>
  <w:font w:name="仿宋">
    <w:panose1 w:val="02010609060101010101"/>
    <w:charset w:val="86"/>
    <w:family w:val="auto"/>
    <w:pitch w:val="default"/>
    <w:sig w:usb0="800002BF" w:usb1="38CF7CFA" w:usb2="00000016" w:usb3="00000000" w:csb0="00040001" w:csb1="00000000"/>
    <w:embedRegular r:id="rId3" w:fontKey="{72E7BE2F-CC9D-4CFA-8EAA-731F14A49EA8}"/>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HorizontalSpacing w:val="152"/>
  <w:drawingGridVerticalSpacing w:val="292"/>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zNzQ2OGM2NjhhODg4OWViMGMwMmNmOWMzOTYyMDUifQ=="/>
  </w:docVars>
  <w:rsids>
    <w:rsidRoot w:val="4F4C79D2"/>
    <w:rsid w:val="017464EA"/>
    <w:rsid w:val="01FB279E"/>
    <w:rsid w:val="04BD6FBA"/>
    <w:rsid w:val="063D115E"/>
    <w:rsid w:val="07333D1B"/>
    <w:rsid w:val="078819B0"/>
    <w:rsid w:val="07AC2F76"/>
    <w:rsid w:val="0A7C57E8"/>
    <w:rsid w:val="0B86000B"/>
    <w:rsid w:val="0C755618"/>
    <w:rsid w:val="0E927DA0"/>
    <w:rsid w:val="0FDE793E"/>
    <w:rsid w:val="12DC75B7"/>
    <w:rsid w:val="131D05FE"/>
    <w:rsid w:val="157A6772"/>
    <w:rsid w:val="16A56916"/>
    <w:rsid w:val="1B492C9C"/>
    <w:rsid w:val="1C3B72C5"/>
    <w:rsid w:val="1D3F70CD"/>
    <w:rsid w:val="20540226"/>
    <w:rsid w:val="21223336"/>
    <w:rsid w:val="230D6480"/>
    <w:rsid w:val="24CF12EE"/>
    <w:rsid w:val="253858B0"/>
    <w:rsid w:val="28C54A6F"/>
    <w:rsid w:val="292E63C1"/>
    <w:rsid w:val="29935B51"/>
    <w:rsid w:val="2C813035"/>
    <w:rsid w:val="2CA817C5"/>
    <w:rsid w:val="300E2B5C"/>
    <w:rsid w:val="302C4F26"/>
    <w:rsid w:val="317B29B7"/>
    <w:rsid w:val="33885A29"/>
    <w:rsid w:val="345614E2"/>
    <w:rsid w:val="36AD2D1C"/>
    <w:rsid w:val="39FC24A0"/>
    <w:rsid w:val="3A207899"/>
    <w:rsid w:val="3AD538EA"/>
    <w:rsid w:val="3B2E0F60"/>
    <w:rsid w:val="3BED309E"/>
    <w:rsid w:val="3E2B025C"/>
    <w:rsid w:val="3F3412B1"/>
    <w:rsid w:val="3F752C40"/>
    <w:rsid w:val="3FA528FE"/>
    <w:rsid w:val="404C1EFA"/>
    <w:rsid w:val="418B17EA"/>
    <w:rsid w:val="456F6C9A"/>
    <w:rsid w:val="47327D62"/>
    <w:rsid w:val="484A70F3"/>
    <w:rsid w:val="48E04CAE"/>
    <w:rsid w:val="49F56997"/>
    <w:rsid w:val="4D9F0BF7"/>
    <w:rsid w:val="4DBA2D13"/>
    <w:rsid w:val="4F2F31F4"/>
    <w:rsid w:val="4F4C79D2"/>
    <w:rsid w:val="51387D69"/>
    <w:rsid w:val="51CB374D"/>
    <w:rsid w:val="52A640BE"/>
    <w:rsid w:val="52F82634"/>
    <w:rsid w:val="53202050"/>
    <w:rsid w:val="56D8752C"/>
    <w:rsid w:val="570A5360"/>
    <w:rsid w:val="57A06643"/>
    <w:rsid w:val="58247DED"/>
    <w:rsid w:val="585C6BB8"/>
    <w:rsid w:val="59830B61"/>
    <w:rsid w:val="5A1E55D8"/>
    <w:rsid w:val="5A6F0762"/>
    <w:rsid w:val="5ABA75F1"/>
    <w:rsid w:val="5B375601"/>
    <w:rsid w:val="5C25314A"/>
    <w:rsid w:val="5E236FAC"/>
    <w:rsid w:val="5F744579"/>
    <w:rsid w:val="5FC81288"/>
    <w:rsid w:val="60AB12C0"/>
    <w:rsid w:val="61235637"/>
    <w:rsid w:val="632936BD"/>
    <w:rsid w:val="64D97298"/>
    <w:rsid w:val="684E4655"/>
    <w:rsid w:val="68AA2794"/>
    <w:rsid w:val="690A428D"/>
    <w:rsid w:val="69694A8A"/>
    <w:rsid w:val="6A3A3AFC"/>
    <w:rsid w:val="6AD531E2"/>
    <w:rsid w:val="6B7C220C"/>
    <w:rsid w:val="6F4B2EA8"/>
    <w:rsid w:val="7488239C"/>
    <w:rsid w:val="77160434"/>
    <w:rsid w:val="786D1862"/>
    <w:rsid w:val="78893043"/>
    <w:rsid w:val="799F431E"/>
    <w:rsid w:val="7A9712A7"/>
    <w:rsid w:val="7BB04900"/>
    <w:rsid w:val="7C6A04B9"/>
    <w:rsid w:val="7D9207F9"/>
    <w:rsid w:val="7DB26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中文正文" w:cs="Times New Roman"/>
      <w:kern w:val="2"/>
      <w:sz w:val="32"/>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spacing w:after="0"/>
      <w:ind w:firstLine="420"/>
    </w:pPr>
  </w:style>
  <w:style w:type="paragraph" w:styleId="3">
    <w:name w:val="Body Text"/>
    <w:basedOn w:val="1"/>
    <w:next w:val="1"/>
    <w:unhideWhenUsed/>
    <w:qFormat/>
    <w:uiPriority w:val="99"/>
    <w:pPr>
      <w:spacing w:after="12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Default"/>
    <w:next w:val="11"/>
    <w:qFormat/>
    <w:uiPriority w:val="0"/>
    <w:pPr>
      <w:widowControl w:val="0"/>
      <w:autoSpaceDE w:val="0"/>
      <w:autoSpaceDN w:val="0"/>
      <w:adjustRightInd w:val="0"/>
    </w:pPr>
    <w:rPr>
      <w:rFonts w:ascii="宋体" w:hAnsi="宋体" w:eastAsia="宋体" w:cs="Times New Roman"/>
      <w:color w:val="000000"/>
      <w:sz w:val="24"/>
      <w:lang w:val="en-US" w:eastAsia="zh-CN" w:bidi="ar-SA"/>
    </w:rPr>
  </w:style>
  <w:style w:type="paragraph" w:customStyle="1" w:styleId="11">
    <w:name w:val="表格文字"/>
    <w:basedOn w:val="3"/>
    <w:next w:val="1"/>
    <w:qFormat/>
    <w:uiPriority w:val="0"/>
    <w:pPr>
      <w:tabs>
        <w:tab w:val="center" w:pos="1053"/>
      </w:tabs>
      <w:spacing w:line="360" w:lineRule="exact"/>
    </w:pPr>
    <w:rPr>
      <w:rFonts w:ascii="宋体" w:hAnsi="宋体"/>
      <w:kern w:val="21"/>
      <w:sz w:val="21"/>
    </w:rPr>
  </w:style>
  <w:style w:type="paragraph" w:customStyle="1" w:styleId="12">
    <w:name w:val="Body text|1"/>
    <w:basedOn w:val="1"/>
    <w:qFormat/>
    <w:uiPriority w:val="0"/>
    <w:pPr>
      <w:widowControl w:val="0"/>
      <w:shd w:val="clear" w:color="auto" w:fill="auto"/>
      <w:spacing w:line="442" w:lineRule="auto"/>
      <w:ind w:firstLine="400"/>
    </w:pPr>
    <w:rPr>
      <w:rFonts w:ascii="宋体" w:hAnsi="宋体" w:eastAsia="宋体" w:cs="宋体"/>
      <w:sz w:val="20"/>
      <w:szCs w:val="20"/>
      <w:u w:val="none"/>
      <w:shd w:val="clear" w:color="auto" w:fill="auto"/>
      <w:lang w:val="zh-TW" w:eastAsia="zh-TW" w:bidi="zh-TW"/>
    </w:rPr>
  </w:style>
  <w:style w:type="table" w:customStyle="1" w:styleId="13">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1986</Words>
  <Characters>2127</Characters>
  <Lines>0</Lines>
  <Paragraphs>0</Paragraphs>
  <TotalTime>3</TotalTime>
  <ScaleCrop>false</ScaleCrop>
  <LinksUpToDate>false</LinksUpToDate>
  <CharactersWithSpaces>2180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2020-08-17T10:10:00Z</dcterms:created>
  <dc:creator>徐振华</dc:creator>
  <cp:lastModifiedBy>七月和风</cp:lastModifiedBy>
  <cp:lastPrinted>2023-04-11T08:11:31Z</cp:lastPrinted>
  <dcterms:modified xsi:type="dcterms:W3CDTF">2023-04-11T08:16:15Z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96B63463A79F4ECB809EA34BCA15143B_13</vt:lpwstr>
  </property>
</Properties>
</file>