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both"/>
        <w:rPr>
          <w:rFonts w:ascii="微软雅黑" w:hAnsi="微软雅黑" w:eastAsia="微软雅黑" w:cs="微软雅黑"/>
          <w:color w:val="000000"/>
          <w:kern w:val="0"/>
          <w:sz w:val="72"/>
          <w:szCs w:val="72"/>
          <w:lang w:val="en-US" w:eastAsia="zh-CN" w:bidi="ar"/>
        </w:rPr>
      </w:pPr>
      <w:bookmarkStart w:id="0" w:name="_Hlk57884087"/>
    </w:p>
    <w:p>
      <w:pPr>
        <w:keepNext w:val="0"/>
        <w:keepLines w:val="0"/>
        <w:widowControl/>
        <w:suppressLineNumbers w:val="0"/>
        <w:jc w:val="center"/>
      </w:pPr>
      <w:r>
        <w:rPr>
          <w:rFonts w:ascii="微软雅黑" w:hAnsi="微软雅黑" w:eastAsia="微软雅黑" w:cs="微软雅黑"/>
          <w:color w:val="000000"/>
          <w:kern w:val="0"/>
          <w:sz w:val="72"/>
          <w:szCs w:val="72"/>
          <w:lang w:val="en-US" w:eastAsia="zh-CN" w:bidi="ar"/>
        </w:rPr>
        <w:t>建设项目环境影响报告表</w:t>
      </w:r>
    </w:p>
    <w:p>
      <w:pPr>
        <w:keepNext w:val="0"/>
        <w:keepLines w:val="0"/>
        <w:widowControl/>
        <w:suppressLineNumbers w:val="0"/>
        <w:jc w:val="center"/>
      </w:pPr>
      <w:r>
        <w:rPr>
          <w:rFonts w:ascii="楷体" w:hAnsi="楷体" w:eastAsia="楷体" w:cs="楷体"/>
          <w:color w:val="000000"/>
          <w:kern w:val="0"/>
          <w:sz w:val="48"/>
          <w:szCs w:val="48"/>
          <w:lang w:val="en-US" w:eastAsia="zh-CN" w:bidi="ar"/>
        </w:rPr>
        <w:t>（污染影响类）</w:t>
      </w:r>
    </w:p>
    <w:p>
      <w:pPr>
        <w:keepNext w:val="0"/>
        <w:keepLines w:val="0"/>
        <w:widowControl/>
        <w:suppressLineNumbers w:val="0"/>
        <w:jc w:val="left"/>
        <w:rPr>
          <w:rFonts w:ascii="仿宋" w:hAnsi="仿宋" w:eastAsia="仿宋" w:cs="仿宋"/>
          <w:b/>
          <w:bCs/>
          <w:color w:val="000000"/>
          <w:kern w:val="0"/>
          <w:sz w:val="31"/>
          <w:szCs w:val="31"/>
          <w:lang w:val="en-US" w:eastAsia="zh-CN" w:bidi="ar"/>
        </w:rPr>
      </w:pPr>
    </w:p>
    <w:p>
      <w:pPr>
        <w:keepNext w:val="0"/>
        <w:keepLines w:val="0"/>
        <w:widowControl/>
        <w:suppressLineNumbers w:val="0"/>
        <w:jc w:val="left"/>
        <w:rPr>
          <w:rFonts w:ascii="仿宋" w:hAnsi="仿宋" w:eastAsia="仿宋" w:cs="仿宋"/>
          <w:b/>
          <w:bCs/>
          <w:color w:val="000000"/>
          <w:kern w:val="0"/>
          <w:sz w:val="31"/>
          <w:szCs w:val="31"/>
          <w:lang w:val="en-US" w:eastAsia="zh-CN" w:bidi="ar"/>
        </w:rPr>
      </w:pPr>
    </w:p>
    <w:p>
      <w:pPr>
        <w:keepNext w:val="0"/>
        <w:keepLines w:val="0"/>
        <w:widowControl/>
        <w:suppressLineNumbers w:val="0"/>
        <w:jc w:val="left"/>
        <w:rPr>
          <w:rFonts w:ascii="仿宋" w:hAnsi="仿宋" w:eastAsia="仿宋" w:cs="仿宋"/>
          <w:b/>
          <w:bCs/>
          <w:color w:val="000000"/>
          <w:kern w:val="0"/>
          <w:sz w:val="31"/>
          <w:szCs w:val="31"/>
          <w:lang w:val="en-US" w:eastAsia="zh-CN" w:bidi="ar"/>
        </w:rPr>
      </w:pPr>
    </w:p>
    <w:p>
      <w:pPr>
        <w:keepNext w:val="0"/>
        <w:keepLines w:val="0"/>
        <w:widowControl/>
        <w:suppressLineNumbers w:val="0"/>
        <w:jc w:val="left"/>
        <w:rPr>
          <w:rFonts w:ascii="仿宋" w:hAnsi="仿宋" w:eastAsia="仿宋" w:cs="仿宋"/>
          <w:b/>
          <w:bCs/>
          <w:color w:val="000000"/>
          <w:kern w:val="0"/>
          <w:sz w:val="31"/>
          <w:szCs w:val="31"/>
          <w:lang w:val="en-US" w:eastAsia="zh-CN" w:bidi="ar"/>
        </w:rPr>
      </w:pPr>
    </w:p>
    <w:p>
      <w:pPr>
        <w:keepNext w:val="0"/>
        <w:keepLines w:val="0"/>
        <w:widowControl/>
        <w:suppressLineNumbers w:val="0"/>
        <w:jc w:val="left"/>
        <w:rPr>
          <w:rFonts w:ascii="仿宋" w:hAnsi="仿宋" w:eastAsia="仿宋" w:cs="仿宋"/>
          <w:b/>
          <w:bCs/>
          <w:color w:val="000000"/>
          <w:kern w:val="0"/>
          <w:sz w:val="31"/>
          <w:szCs w:val="31"/>
          <w:lang w:val="en-US" w:eastAsia="zh-CN" w:bidi="ar"/>
        </w:rPr>
      </w:pPr>
    </w:p>
    <w:p>
      <w:pPr>
        <w:keepNext w:val="0"/>
        <w:keepLines w:val="0"/>
        <w:widowControl/>
        <w:suppressLineNumbers w:val="0"/>
        <w:jc w:val="left"/>
        <w:rPr>
          <w:rFonts w:ascii="仿宋" w:hAnsi="仿宋" w:eastAsia="仿宋" w:cs="仿宋"/>
          <w:b/>
          <w:bCs/>
          <w:color w:val="000000"/>
          <w:kern w:val="0"/>
          <w:sz w:val="31"/>
          <w:szCs w:val="31"/>
          <w:lang w:val="en-US" w:eastAsia="zh-CN" w:bidi="ar"/>
        </w:rPr>
      </w:pPr>
    </w:p>
    <w:p>
      <w:pPr>
        <w:keepNext w:val="0"/>
        <w:keepLines w:val="0"/>
        <w:widowControl/>
        <w:suppressLineNumbers w:val="0"/>
        <w:jc w:val="left"/>
        <w:rPr>
          <w:rFonts w:ascii="仿宋" w:hAnsi="仿宋" w:eastAsia="仿宋" w:cs="仿宋"/>
          <w:b/>
          <w:bCs/>
          <w:color w:val="000000"/>
          <w:kern w:val="0"/>
          <w:sz w:val="31"/>
          <w:szCs w:val="31"/>
          <w:lang w:val="en-US" w:eastAsia="zh-CN" w:bidi="ar"/>
        </w:rPr>
      </w:pPr>
    </w:p>
    <w:p>
      <w:pPr>
        <w:keepNext w:val="0"/>
        <w:keepLines w:val="0"/>
        <w:widowControl/>
        <w:suppressLineNumbers w:val="0"/>
        <w:jc w:val="left"/>
        <w:rPr>
          <w:rFonts w:ascii="仿宋" w:hAnsi="仿宋" w:eastAsia="仿宋" w:cs="仿宋"/>
          <w:b/>
          <w:bCs/>
          <w:color w:val="000000"/>
          <w:kern w:val="0"/>
          <w:sz w:val="31"/>
          <w:szCs w:val="31"/>
          <w:lang w:val="en-US" w:eastAsia="zh-CN" w:bidi="ar"/>
        </w:rPr>
      </w:pPr>
    </w:p>
    <w:p>
      <w:pPr>
        <w:keepNext w:val="0"/>
        <w:keepLines w:val="0"/>
        <w:widowControl/>
        <w:suppressLineNumbers w:val="0"/>
        <w:jc w:val="left"/>
        <w:rPr>
          <w:rFonts w:ascii="仿宋" w:hAnsi="仿宋" w:eastAsia="仿宋" w:cs="仿宋"/>
          <w:b/>
          <w:bCs/>
          <w:color w:val="000000"/>
          <w:kern w:val="0"/>
          <w:sz w:val="31"/>
          <w:szCs w:val="31"/>
          <w:lang w:val="en-US" w:eastAsia="zh-CN" w:bidi="ar"/>
        </w:rPr>
      </w:pPr>
    </w:p>
    <w:p>
      <w:pPr>
        <w:keepNext w:val="0"/>
        <w:keepLines w:val="0"/>
        <w:widowControl/>
        <w:suppressLineNumbers w:val="0"/>
        <w:jc w:val="center"/>
      </w:pPr>
      <w:r>
        <w:rPr>
          <w:rFonts w:ascii="仿宋" w:hAnsi="仿宋" w:eastAsia="仿宋" w:cs="仿宋"/>
          <w:b/>
          <w:bCs/>
          <w:color w:val="000000"/>
          <w:kern w:val="0"/>
          <w:sz w:val="31"/>
          <w:szCs w:val="31"/>
          <w:lang w:val="en-US" w:eastAsia="zh-CN" w:bidi="ar"/>
        </w:rPr>
        <w:t>项目名称</w:t>
      </w:r>
      <w:r>
        <w:rPr>
          <w:rFonts w:hint="eastAsia" w:ascii="仿宋" w:hAnsi="仿宋" w:eastAsia="仿宋" w:cs="仿宋"/>
          <w:color w:val="000000"/>
          <w:kern w:val="0"/>
          <w:sz w:val="31"/>
          <w:szCs w:val="31"/>
          <w:lang w:val="en-US" w:eastAsia="zh-CN" w:bidi="ar"/>
        </w:rPr>
        <w:t>：繁峙县第二污水处理厂及管网配套工程项目</w:t>
      </w:r>
    </w:p>
    <w:p>
      <w:pPr>
        <w:keepNext w:val="0"/>
        <w:keepLines w:val="0"/>
        <w:widowControl/>
        <w:suppressLineNumbers w:val="0"/>
        <w:jc w:val="center"/>
      </w:pPr>
      <w:r>
        <w:rPr>
          <w:rFonts w:hint="eastAsia" w:ascii="仿宋" w:hAnsi="仿宋" w:eastAsia="仿宋" w:cs="仿宋"/>
          <w:b/>
          <w:bCs/>
          <w:color w:val="000000"/>
          <w:kern w:val="0"/>
          <w:sz w:val="31"/>
          <w:szCs w:val="31"/>
          <w:lang w:val="en-US" w:eastAsia="zh-CN" w:bidi="ar"/>
        </w:rPr>
        <w:t>建设单位（盖章）：</w:t>
      </w:r>
      <w:r>
        <w:rPr>
          <w:rFonts w:hint="eastAsia" w:ascii="仿宋" w:hAnsi="仿宋" w:eastAsia="仿宋" w:cs="仿宋"/>
          <w:color w:val="000000"/>
          <w:kern w:val="0"/>
          <w:sz w:val="31"/>
          <w:szCs w:val="31"/>
          <w:lang w:val="en-US" w:eastAsia="zh-CN" w:bidi="ar"/>
        </w:rPr>
        <w:t>繁峙县住房和城乡建设管理局</w:t>
      </w:r>
    </w:p>
    <w:p>
      <w:pPr>
        <w:keepNext w:val="0"/>
        <w:keepLines w:val="0"/>
        <w:widowControl/>
        <w:suppressLineNumbers w:val="0"/>
        <w:jc w:val="center"/>
      </w:pPr>
      <w:r>
        <w:rPr>
          <w:rFonts w:hint="eastAsia" w:ascii="仿宋" w:hAnsi="仿宋" w:eastAsia="仿宋" w:cs="仿宋"/>
          <w:b/>
          <w:bCs/>
          <w:color w:val="000000"/>
          <w:kern w:val="0"/>
          <w:sz w:val="31"/>
          <w:szCs w:val="31"/>
          <w:lang w:val="en-US" w:eastAsia="zh-CN" w:bidi="ar"/>
        </w:rPr>
        <w:t>编制日期： 二〇二三年</w:t>
      </w:r>
      <w:r>
        <w:rPr>
          <w:rFonts w:hint="eastAsia" w:ascii="仿宋" w:hAnsi="仿宋" w:eastAsia="仿宋" w:cs="仿宋"/>
          <w:color w:val="000000"/>
          <w:kern w:val="0"/>
          <w:sz w:val="31"/>
          <w:szCs w:val="31"/>
          <w:lang w:val="en-US" w:eastAsia="zh-CN" w:bidi="ar"/>
        </w:rPr>
        <w:t>一月</w:t>
      </w:r>
    </w:p>
    <w:p>
      <w:pPr>
        <w:adjustRightInd w:val="0"/>
        <w:snapToGrid w:val="0"/>
        <w:spacing w:line="288" w:lineRule="auto"/>
        <w:ind w:firstLine="1040"/>
        <w:rPr>
          <w:rFonts w:hint="eastAsia" w:ascii="Times New Roman" w:hAnsi="Times New Roman" w:eastAsia="仿宋_GB2312" w:cs="Times New Roman"/>
          <w:color w:val="auto"/>
          <w:sz w:val="36"/>
          <w:szCs w:val="36"/>
          <w:lang w:eastAsia="zh-CN"/>
        </w:rPr>
      </w:pPr>
    </w:p>
    <w:p>
      <w:pPr>
        <w:adjustRightInd/>
        <w:spacing w:line="360" w:lineRule="auto"/>
        <w:jc w:val="center"/>
        <w:textAlignment w:val="auto"/>
        <w:rPr>
          <w:rFonts w:hint="default" w:ascii="Times New Roman" w:hAnsi="Times New Roman" w:eastAsia="宋体" w:cs="Times New Roman"/>
          <w:b/>
          <w:bCs/>
          <w:color w:val="auto"/>
          <w:sz w:val="24"/>
          <w:szCs w:val="24"/>
          <w:lang w:val="zh-CN" w:bidi="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6"/>
        <w:adjustRightInd w:val="0"/>
        <w:snapToGrid w:val="0"/>
        <w:spacing w:before="0" w:beforeAutospacing="0" w:after="0" w:afterAutospacing="0"/>
        <w:jc w:val="both"/>
        <w:rPr>
          <w:rFonts w:ascii="Times New Roman" w:hAnsi="Times New Roman" w:eastAsia="方正小标宋_GBK" w:cs="Times New Roman"/>
          <w:bCs/>
          <w:snapToGrid w:val="0"/>
          <w:color w:val="auto"/>
          <w:kern w:val="2"/>
          <w:sz w:val="38"/>
          <w:szCs w:val="38"/>
        </w:rPr>
        <w:sectPr>
          <w:headerReference r:id="rId3" w:type="default"/>
          <w:footerReference r:id="rId4"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8855075" cy="6193155"/>
            <wp:effectExtent l="0" t="0" r="9525" b="444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8855075" cy="6193155"/>
                    </a:xfrm>
                    <a:prstGeom prst="rect">
                      <a:avLst/>
                    </a:prstGeom>
                    <a:noFill/>
                    <a:ln>
                      <a:noFill/>
                    </a:ln>
                  </pic:spPr>
                </pic:pic>
              </a:graphicData>
            </a:graphic>
          </wp:inline>
        </w:drawing>
      </w:r>
      <w:r>
        <w:drawing>
          <wp:inline distT="0" distB="0" distL="114300" distR="114300">
            <wp:extent cx="8853805" cy="5514975"/>
            <wp:effectExtent l="0" t="0" r="10795"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8"/>
                    <a:stretch>
                      <a:fillRect/>
                    </a:stretch>
                  </pic:blipFill>
                  <pic:spPr>
                    <a:xfrm>
                      <a:off x="0" y="0"/>
                      <a:ext cx="8853805" cy="5514975"/>
                    </a:xfrm>
                    <a:prstGeom prst="rect">
                      <a:avLst/>
                    </a:prstGeom>
                    <a:noFill/>
                    <a:ln>
                      <a:noFill/>
                    </a:ln>
                  </pic:spPr>
                </pic:pic>
              </a:graphicData>
            </a:graphic>
          </wp:inline>
        </w:drawing>
      </w:r>
      <w:r>
        <w:drawing>
          <wp:inline distT="0" distB="0" distL="114300" distR="114300">
            <wp:extent cx="8854440" cy="5785485"/>
            <wp:effectExtent l="0" t="0" r="10160" b="571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8854440" cy="5785485"/>
                    </a:xfrm>
                    <a:prstGeom prst="rect">
                      <a:avLst/>
                    </a:prstGeom>
                    <a:noFill/>
                    <a:ln>
                      <a:noFill/>
                    </a:ln>
                  </pic:spPr>
                </pic:pic>
              </a:graphicData>
            </a:graphic>
          </wp:inline>
        </w:drawing>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黑体" w:cs="Times New Roman"/>
          <w:snapToGrid w:val="0"/>
          <w:color w:val="auto"/>
          <w:sz w:val="30"/>
          <w:szCs w:val="30"/>
          <w:lang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eastAsia="黑体" w:cs="Times New Roman"/>
          <w:snapToGrid w:val="0"/>
          <w:color w:val="auto"/>
          <w:sz w:val="30"/>
          <w:szCs w:val="30"/>
          <w:lang w:eastAsia="zh-CN"/>
        </w:rPr>
        <w:drawing>
          <wp:anchor distT="0" distB="0" distL="114300" distR="114300" simplePos="0" relativeHeight="251665408" behindDoc="1" locked="0" layoutInCell="1" allowOverlap="1">
            <wp:simplePos x="0" y="0"/>
            <wp:positionH relativeFrom="column">
              <wp:posOffset>-209550</wp:posOffset>
            </wp:positionH>
            <wp:positionV relativeFrom="paragraph">
              <wp:posOffset>428625</wp:posOffset>
            </wp:positionV>
            <wp:extent cx="5594350" cy="7907655"/>
            <wp:effectExtent l="0" t="0" r="6350" b="17145"/>
            <wp:wrapNone/>
            <wp:docPr id="11" name="图片 11"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an"/>
                    <pic:cNvPicPr>
                      <a:picLocks noChangeAspect="1"/>
                    </pic:cNvPicPr>
                  </pic:nvPicPr>
                  <pic:blipFill>
                    <a:blip r:embed="rId10"/>
                    <a:stretch>
                      <a:fillRect/>
                    </a:stretch>
                  </pic:blipFill>
                  <pic:spPr>
                    <a:xfrm rot="10800000">
                      <a:off x="0" y="0"/>
                      <a:ext cx="5594350" cy="7907655"/>
                    </a:xfrm>
                    <a:prstGeom prst="rect">
                      <a:avLst/>
                    </a:prstGeom>
                  </pic:spPr>
                </pic:pic>
              </a:graphicData>
            </a:graphic>
          </wp:anchor>
        </w:drawing>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cs="Times New Roman"/>
          <w:snapToGrid w:val="0"/>
          <w:color w:val="auto"/>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drawing>
          <wp:inline distT="0" distB="0" distL="114300" distR="114300">
            <wp:extent cx="5269865" cy="7581900"/>
            <wp:effectExtent l="0" t="0" r="698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269865" cy="7581900"/>
                    </a:xfrm>
                    <a:prstGeom prst="rect">
                      <a:avLst/>
                    </a:prstGeom>
                    <a:noFill/>
                    <a:ln>
                      <a:noFill/>
                    </a:ln>
                  </pic:spPr>
                </pic:pic>
              </a:graphicData>
            </a:graphic>
          </wp:inline>
        </w:drawing>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t>一、建设项目基本情况</w:t>
      </w:r>
    </w:p>
    <w:tbl>
      <w:tblPr>
        <w:tblStyle w:val="24"/>
        <w:tblW w:w="887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488"/>
        <w:gridCol w:w="1495"/>
        <w:gridCol w:w="2036"/>
        <w:gridCol w:w="277"/>
        <w:gridCol w:w="1798"/>
        <w:gridCol w:w="277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83" w:type="dxa"/>
            <w:gridSpan w:val="2"/>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建设项目名称</w:t>
            </w:r>
          </w:p>
        </w:tc>
        <w:tc>
          <w:tcPr>
            <w:tcW w:w="6887" w:type="dxa"/>
            <w:gridSpan w:val="4"/>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b w:val="0"/>
                <w:bCs w:val="0"/>
                <w:color w:val="auto"/>
                <w:sz w:val="24"/>
                <w:szCs w:val="24"/>
                <w:lang w:val="en-US" w:eastAsia="zh-CN"/>
              </w:rPr>
              <w:t>繁峙县第二污水处理厂及管网配套工程项目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83" w:type="dxa"/>
            <w:gridSpan w:val="2"/>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项目代码</w:t>
            </w:r>
          </w:p>
        </w:tc>
        <w:tc>
          <w:tcPr>
            <w:tcW w:w="6887" w:type="dxa"/>
            <w:gridSpan w:val="4"/>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2019</w:t>
            </w:r>
            <w:r>
              <w:rPr>
                <w:rFonts w:ascii="Times New Roman" w:hAnsi="Times New Roman" w:eastAsia="宋体" w:cs="Times New Roman"/>
                <w:color w:val="auto"/>
                <w:sz w:val="24"/>
                <w:szCs w:val="24"/>
              </w:rPr>
              <w:t>-140924-</w:t>
            </w:r>
            <w:r>
              <w:rPr>
                <w:rFonts w:hint="eastAsia" w:ascii="Times New Roman" w:hAnsi="Times New Roman" w:eastAsia="宋体" w:cs="Times New Roman"/>
                <w:color w:val="auto"/>
                <w:sz w:val="24"/>
                <w:szCs w:val="24"/>
                <w:lang w:val="en-US" w:eastAsia="zh-CN"/>
              </w:rPr>
              <w:t>78</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1</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103766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83" w:type="dxa"/>
            <w:gridSpan w:val="2"/>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建设单位联系人</w:t>
            </w:r>
          </w:p>
        </w:tc>
        <w:tc>
          <w:tcPr>
            <w:tcW w:w="2036" w:type="dxa"/>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原尚翀</w:t>
            </w:r>
          </w:p>
        </w:tc>
        <w:tc>
          <w:tcPr>
            <w:tcW w:w="2075" w:type="dxa"/>
            <w:gridSpan w:val="2"/>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联系方式</w:t>
            </w:r>
          </w:p>
        </w:tc>
        <w:tc>
          <w:tcPr>
            <w:tcW w:w="2776" w:type="dxa"/>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15935022662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83" w:type="dxa"/>
            <w:gridSpan w:val="2"/>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建设地点</w:t>
            </w:r>
          </w:p>
        </w:tc>
        <w:tc>
          <w:tcPr>
            <w:tcW w:w="6887" w:type="dxa"/>
            <w:gridSpan w:val="4"/>
            <w:tcBorders>
              <w:tl2br w:val="nil"/>
              <w:tr2bl w:val="nil"/>
            </w:tcBorders>
            <w:vAlign w:val="center"/>
          </w:tcPr>
          <w:p>
            <w:pPr>
              <w:adjustRightInd w:val="0"/>
              <w:snapToGrid w:val="0"/>
              <w:ind w:firstLine="42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忻州市繁峙县笔锋</w:t>
            </w:r>
            <w:r>
              <w:rPr>
                <w:rFonts w:hint="default" w:ascii="Times New Roman" w:hAnsi="Times New Roman" w:eastAsia="宋体" w:cs="Times New Roman"/>
                <w:color w:val="auto"/>
                <w:sz w:val="24"/>
                <w:szCs w:val="24"/>
                <w:lang w:val="en-US" w:eastAsia="zh-CN"/>
              </w:rPr>
              <w:t>村</w:t>
            </w:r>
            <w:r>
              <w:rPr>
                <w:rFonts w:hint="eastAsia" w:ascii="Times New Roman" w:hAnsi="Times New Roman" w:eastAsia="宋体" w:cs="Times New Roman"/>
                <w:color w:val="auto"/>
                <w:sz w:val="24"/>
                <w:szCs w:val="24"/>
                <w:lang w:val="en-US" w:eastAsia="zh-CN"/>
              </w:rPr>
              <w:t>西南侧1.34km处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83" w:type="dxa"/>
            <w:gridSpan w:val="2"/>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地理坐标</w:t>
            </w:r>
          </w:p>
        </w:tc>
        <w:tc>
          <w:tcPr>
            <w:tcW w:w="6887" w:type="dxa"/>
            <w:gridSpan w:val="4"/>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东经113°13′</w:t>
            </w:r>
            <w:r>
              <w:rPr>
                <w:rFonts w:hint="eastAsia" w:ascii="Times New Roman" w:hAnsi="Times New Roman" w:eastAsia="宋体" w:cs="Times New Roman"/>
                <w:color w:val="auto"/>
                <w:sz w:val="24"/>
                <w:szCs w:val="24"/>
                <w:lang w:val="en-US" w:eastAsia="zh-CN"/>
              </w:rPr>
              <w:t>42.071</w:t>
            </w:r>
            <w:r>
              <w:rPr>
                <w:rFonts w:hint="default" w:ascii="Times New Roman" w:hAnsi="Times New Roman" w:eastAsia="宋体" w:cs="Times New Roman"/>
                <w:color w:val="auto"/>
                <w:sz w:val="24"/>
                <w:szCs w:val="24"/>
                <w:lang w:eastAsia="zh-CN"/>
              </w:rPr>
              <w:t>″，北纬39°10′</w:t>
            </w:r>
            <w:r>
              <w:rPr>
                <w:rFonts w:hint="eastAsia" w:ascii="Times New Roman" w:hAnsi="Times New Roman" w:eastAsia="宋体" w:cs="Times New Roman"/>
                <w:color w:val="auto"/>
                <w:sz w:val="24"/>
                <w:szCs w:val="24"/>
                <w:lang w:val="en-US" w:eastAsia="zh-CN"/>
              </w:rPr>
              <w:t>21.631</w:t>
            </w:r>
            <w:r>
              <w:rPr>
                <w:rFonts w:hint="default" w:ascii="Times New Roman" w:hAnsi="Times New Roman" w:eastAsia="宋体" w:cs="Times New Roman"/>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1" w:hRule="atLeast"/>
          <w:jc w:val="center"/>
        </w:trPr>
        <w:tc>
          <w:tcPr>
            <w:tcW w:w="1983" w:type="dxa"/>
            <w:gridSpan w:val="2"/>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国民经济</w:t>
            </w:r>
          </w:p>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行业类别</w:t>
            </w:r>
          </w:p>
        </w:tc>
        <w:tc>
          <w:tcPr>
            <w:tcW w:w="2313" w:type="dxa"/>
            <w:gridSpan w:val="2"/>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D4620污水处理及再生利用</w:t>
            </w:r>
          </w:p>
        </w:tc>
        <w:tc>
          <w:tcPr>
            <w:tcW w:w="1798" w:type="dxa"/>
            <w:tcBorders>
              <w:tl2br w:val="nil"/>
              <w:tr2bl w:val="nil"/>
            </w:tcBorders>
            <w:vAlign w:val="center"/>
          </w:tcPr>
          <w:p>
            <w:pPr>
              <w:adjustRightInd w:val="0"/>
              <w:snapToGrid w:val="0"/>
              <w:jc w:val="center"/>
              <w:rPr>
                <w:rFonts w:ascii="Times New Roman" w:hAnsi="Times New Roman" w:eastAsia="宋体" w:cs="Times New Roman"/>
                <w:b/>
                <w:bCs/>
                <w:color w:val="auto"/>
                <w:sz w:val="24"/>
                <w:szCs w:val="24"/>
              </w:rPr>
            </w:pPr>
            <w:bookmarkStart w:id="1" w:name="_Hlk49843745"/>
            <w:r>
              <w:rPr>
                <w:rFonts w:ascii="Times New Roman" w:hAnsi="Times New Roman" w:eastAsia="宋体" w:cs="Times New Roman"/>
                <w:b/>
                <w:bCs/>
                <w:color w:val="auto"/>
                <w:sz w:val="24"/>
                <w:szCs w:val="24"/>
              </w:rPr>
              <w:t>建设项目</w:t>
            </w:r>
          </w:p>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行业类别</w:t>
            </w:r>
            <w:bookmarkEnd w:id="1"/>
          </w:p>
        </w:tc>
        <w:tc>
          <w:tcPr>
            <w:tcW w:w="2776" w:type="dxa"/>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43-95 污水处理及其再生利用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219" w:hRule="atLeast"/>
          <w:jc w:val="center"/>
        </w:trPr>
        <w:tc>
          <w:tcPr>
            <w:tcW w:w="1983" w:type="dxa"/>
            <w:gridSpan w:val="2"/>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建设性质</w:t>
            </w:r>
          </w:p>
        </w:tc>
        <w:tc>
          <w:tcPr>
            <w:tcW w:w="2313" w:type="dxa"/>
            <w:gridSpan w:val="2"/>
            <w:tcBorders>
              <w:tl2br w:val="nil"/>
              <w:tr2bl w:val="nil"/>
            </w:tcBorders>
            <w:vAlign w:val="center"/>
          </w:tcPr>
          <w:p>
            <w:pPr>
              <w:rPr>
                <w:rFonts w:ascii="Times New Roman" w:hAnsi="Times New Roman" w:eastAsia="宋体" w:cs="Times New Roman"/>
                <w:color w:val="auto"/>
                <w:sz w:val="24"/>
                <w:szCs w:val="24"/>
              </w:rPr>
            </w:pPr>
            <w:r>
              <w:rPr>
                <w:rFonts w:ascii="Times New Roman" w:hAnsi="Times New Roman" w:eastAsia="宋体" w:cs="Times New Roman"/>
                <w:color w:val="auto"/>
                <w:spacing w:val="-10"/>
                <w:sz w:val="24"/>
                <w:szCs w:val="24"/>
              </w:rPr>
              <w:sym w:font="Wingdings" w:char="00FE"/>
            </w:r>
            <w:r>
              <w:rPr>
                <w:rFonts w:ascii="Times New Roman" w:hAnsi="Times New Roman" w:eastAsia="宋体" w:cs="Times New Roman"/>
                <w:color w:val="auto"/>
                <w:sz w:val="24"/>
                <w:szCs w:val="24"/>
              </w:rPr>
              <w:t>新建（迁建）</w:t>
            </w:r>
          </w:p>
          <w:p>
            <w:pPr>
              <w:rPr>
                <w:rFonts w:ascii="Times New Roman" w:hAnsi="Times New Roman" w:eastAsia="宋体" w:cs="Times New Roman"/>
                <w:color w:val="auto"/>
                <w:sz w:val="24"/>
                <w:szCs w:val="24"/>
              </w:rPr>
            </w:pPr>
            <w:r>
              <w:rPr>
                <w:rFonts w:ascii="Times New Roman" w:hAnsi="Times New Roman" w:eastAsia="宋体" w:cs="Times New Roman"/>
                <w:color w:val="auto"/>
                <w:spacing w:val="-10"/>
                <w:sz w:val="24"/>
                <w:szCs w:val="24"/>
              </w:rPr>
              <w:sym w:font="Wingdings" w:char="00A8"/>
            </w:r>
            <w:r>
              <w:rPr>
                <w:rFonts w:ascii="Times New Roman" w:hAnsi="Times New Roman" w:eastAsia="宋体" w:cs="Times New Roman"/>
                <w:color w:val="auto"/>
                <w:sz w:val="24"/>
                <w:szCs w:val="24"/>
              </w:rPr>
              <w:t>改建</w:t>
            </w:r>
          </w:p>
          <w:p>
            <w:pPr>
              <w:rPr>
                <w:rFonts w:ascii="Times New Roman" w:hAnsi="Times New Roman" w:eastAsia="宋体" w:cs="Times New Roman"/>
                <w:color w:val="auto"/>
                <w:sz w:val="24"/>
                <w:szCs w:val="24"/>
              </w:rPr>
            </w:pPr>
            <w:r>
              <w:rPr>
                <w:rFonts w:ascii="Times New Roman" w:hAnsi="Times New Roman" w:eastAsia="宋体" w:cs="Times New Roman"/>
                <w:color w:val="auto"/>
                <w:spacing w:val="-10"/>
                <w:sz w:val="24"/>
                <w:szCs w:val="24"/>
              </w:rPr>
              <w:sym w:font="Wingdings" w:char="00A8"/>
            </w:r>
            <w:r>
              <w:rPr>
                <w:rFonts w:ascii="Times New Roman" w:hAnsi="Times New Roman" w:eastAsia="宋体" w:cs="Times New Roman"/>
                <w:color w:val="auto"/>
                <w:sz w:val="24"/>
                <w:szCs w:val="24"/>
              </w:rPr>
              <w:t>扩建</w:t>
            </w:r>
          </w:p>
          <w:p>
            <w:pPr>
              <w:rPr>
                <w:rFonts w:ascii="Times New Roman" w:hAnsi="Times New Roman" w:eastAsia="宋体" w:cs="Times New Roman"/>
                <w:color w:val="auto"/>
                <w:sz w:val="24"/>
                <w:szCs w:val="24"/>
              </w:rPr>
            </w:pPr>
            <w:r>
              <w:rPr>
                <w:rFonts w:ascii="Times New Roman" w:hAnsi="Times New Roman" w:eastAsia="宋体" w:cs="Times New Roman"/>
                <w:color w:val="auto"/>
                <w:spacing w:val="-10"/>
                <w:sz w:val="24"/>
                <w:szCs w:val="24"/>
              </w:rPr>
              <w:sym w:font="Wingdings" w:char="00A8"/>
            </w:r>
            <w:r>
              <w:rPr>
                <w:rFonts w:ascii="Times New Roman" w:hAnsi="Times New Roman" w:eastAsia="宋体" w:cs="Times New Roman"/>
                <w:color w:val="auto"/>
                <w:sz w:val="24"/>
                <w:szCs w:val="24"/>
              </w:rPr>
              <w:t>技术改造</w:t>
            </w:r>
          </w:p>
        </w:tc>
        <w:tc>
          <w:tcPr>
            <w:tcW w:w="1798" w:type="dxa"/>
            <w:tcBorders>
              <w:tl2br w:val="nil"/>
              <w:tr2bl w:val="nil"/>
            </w:tcBorders>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w:t>
            </w:r>
          </w:p>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申报情形</w:t>
            </w:r>
          </w:p>
        </w:tc>
        <w:tc>
          <w:tcPr>
            <w:tcW w:w="2776" w:type="dxa"/>
            <w:tcBorders>
              <w:tl2br w:val="nil"/>
              <w:tr2bl w:val="nil"/>
            </w:tcBorders>
            <w:vAlign w:val="center"/>
          </w:tcPr>
          <w:p>
            <w:pPr>
              <w:rPr>
                <w:rFonts w:ascii="Times New Roman" w:hAnsi="Times New Roman" w:eastAsia="宋体" w:cs="Times New Roman"/>
                <w:color w:val="auto"/>
                <w:sz w:val="24"/>
                <w:szCs w:val="24"/>
              </w:rPr>
            </w:pPr>
            <w:r>
              <w:rPr>
                <w:rFonts w:ascii="Times New Roman" w:hAnsi="Times New Roman" w:eastAsia="宋体" w:cs="Times New Roman"/>
                <w:color w:val="auto"/>
                <w:spacing w:val="-10"/>
                <w:sz w:val="24"/>
                <w:szCs w:val="24"/>
              </w:rPr>
              <w:sym w:font="Wingdings" w:char="00FE"/>
            </w:r>
            <w:r>
              <w:rPr>
                <w:rFonts w:ascii="Times New Roman" w:hAnsi="Times New Roman" w:eastAsia="宋体" w:cs="Times New Roman"/>
                <w:color w:val="auto"/>
                <w:sz w:val="24"/>
                <w:szCs w:val="24"/>
              </w:rPr>
              <w:t>首次申报项目</w:t>
            </w:r>
          </w:p>
          <w:p>
            <w:pPr>
              <w:rPr>
                <w:rFonts w:ascii="Times New Roman" w:hAnsi="Times New Roman" w:eastAsia="宋体" w:cs="Times New Roman"/>
                <w:color w:val="auto"/>
                <w:sz w:val="24"/>
                <w:szCs w:val="24"/>
              </w:rPr>
            </w:pPr>
            <w:r>
              <w:rPr>
                <w:rFonts w:ascii="Times New Roman" w:hAnsi="Times New Roman" w:eastAsia="宋体" w:cs="Times New Roman"/>
                <w:color w:val="auto"/>
                <w:spacing w:val="-10"/>
                <w:sz w:val="24"/>
                <w:szCs w:val="24"/>
              </w:rPr>
              <w:sym w:font="Wingdings" w:char="00A8"/>
            </w:r>
            <w:r>
              <w:rPr>
                <w:rFonts w:ascii="Times New Roman" w:hAnsi="Times New Roman" w:eastAsia="宋体" w:cs="Times New Roman"/>
                <w:color w:val="auto"/>
                <w:sz w:val="24"/>
                <w:szCs w:val="24"/>
              </w:rPr>
              <w:t>不予批准后再次申报项目</w:t>
            </w:r>
          </w:p>
          <w:p>
            <w:pP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rPr>
              <w:t>超五年重新审核项目</w:t>
            </w:r>
          </w:p>
          <w:p>
            <w:pPr>
              <w:rPr>
                <w:rFonts w:ascii="Times New Roman" w:hAnsi="Times New Roman" w:eastAsia="宋体" w:cs="Times New Roman"/>
                <w:color w:val="auto"/>
                <w:sz w:val="24"/>
                <w:szCs w:val="24"/>
              </w:rPr>
            </w:pPr>
            <w:r>
              <w:rPr>
                <w:rFonts w:ascii="Times New Roman" w:hAnsi="Times New Roman" w:eastAsia="宋体" w:cs="Times New Roman"/>
                <w:color w:val="auto"/>
                <w:spacing w:val="-10"/>
                <w:sz w:val="24"/>
                <w:szCs w:val="24"/>
              </w:rPr>
              <w:sym w:font="Wingdings" w:char="00A8"/>
            </w:r>
            <w:r>
              <w:rPr>
                <w:rFonts w:ascii="Times New Roman" w:hAnsi="Times New Roman" w:eastAsia="宋体" w:cs="Times New Roman"/>
                <w:color w:val="auto"/>
                <w:sz w:val="24"/>
                <w:szCs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51" w:hRule="atLeast"/>
          <w:jc w:val="center"/>
        </w:trPr>
        <w:tc>
          <w:tcPr>
            <w:tcW w:w="1983" w:type="dxa"/>
            <w:gridSpan w:val="2"/>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项目审批（核准/</w:t>
            </w:r>
          </w:p>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备案）部门（选填）</w:t>
            </w:r>
          </w:p>
        </w:tc>
        <w:tc>
          <w:tcPr>
            <w:tcW w:w="2313" w:type="dxa"/>
            <w:gridSpan w:val="2"/>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繁峙县行政审批服务管理局</w:t>
            </w:r>
          </w:p>
        </w:tc>
        <w:tc>
          <w:tcPr>
            <w:tcW w:w="1798" w:type="dxa"/>
            <w:tcBorders>
              <w:tl2br w:val="nil"/>
              <w:tr2bl w:val="nil"/>
            </w:tcBorders>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项目审批（核准/</w:t>
            </w:r>
          </w:p>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备案）文号（选填）</w:t>
            </w:r>
          </w:p>
        </w:tc>
        <w:tc>
          <w:tcPr>
            <w:tcW w:w="2776" w:type="dxa"/>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繁发改字〔2019〕56号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83" w:type="dxa"/>
            <w:gridSpan w:val="2"/>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总投资（万元）</w:t>
            </w:r>
          </w:p>
        </w:tc>
        <w:tc>
          <w:tcPr>
            <w:tcW w:w="2313" w:type="dxa"/>
            <w:gridSpan w:val="2"/>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val="en-US" w:eastAsia="zh-CN"/>
              </w:rPr>
              <w:t>16141.75</w:t>
            </w:r>
          </w:p>
        </w:tc>
        <w:tc>
          <w:tcPr>
            <w:tcW w:w="1798"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环保投资（万元）</w:t>
            </w:r>
          </w:p>
        </w:tc>
        <w:tc>
          <w:tcPr>
            <w:tcW w:w="2776"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165.6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83" w:type="dxa"/>
            <w:gridSpan w:val="2"/>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环保投资占比（%）</w:t>
            </w:r>
          </w:p>
        </w:tc>
        <w:tc>
          <w:tcPr>
            <w:tcW w:w="2313" w:type="dxa"/>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1.03</w:t>
            </w:r>
          </w:p>
        </w:tc>
        <w:tc>
          <w:tcPr>
            <w:tcW w:w="1798"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施工工期</w:t>
            </w:r>
          </w:p>
        </w:tc>
        <w:tc>
          <w:tcPr>
            <w:tcW w:w="2776" w:type="dxa"/>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12个月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983" w:type="dxa"/>
            <w:gridSpan w:val="2"/>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是否开工建设</w:t>
            </w:r>
          </w:p>
        </w:tc>
        <w:tc>
          <w:tcPr>
            <w:tcW w:w="2313" w:type="dxa"/>
            <w:gridSpan w:val="2"/>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pacing w:val="-10"/>
                <w:sz w:val="24"/>
                <w:szCs w:val="24"/>
              </w:rPr>
              <w:sym w:font="Wingdings" w:char="00FE"/>
            </w:r>
            <w:r>
              <w:rPr>
                <w:rFonts w:ascii="Times New Roman" w:hAnsi="Times New Roman" w:eastAsia="宋体" w:cs="Times New Roman"/>
                <w:color w:val="auto"/>
                <w:sz w:val="24"/>
                <w:szCs w:val="24"/>
              </w:rPr>
              <w:t>否</w:t>
            </w:r>
          </w:p>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rPr>
              <w:t>是：</w:t>
            </w:r>
          </w:p>
        </w:tc>
        <w:tc>
          <w:tcPr>
            <w:tcW w:w="1798" w:type="dxa"/>
            <w:tcBorders>
              <w:tl2br w:val="nil"/>
              <w:tr2bl w:val="nil"/>
            </w:tcBorders>
            <w:tcMar>
              <w:top w:w="16" w:type="dxa"/>
              <w:left w:w="16" w:type="dxa"/>
              <w:right w:w="16" w:type="dxa"/>
            </w:tcMar>
            <w:vAlign w:val="center"/>
          </w:tcPr>
          <w:p>
            <w:pPr>
              <w:adjustRightInd w:val="0"/>
              <w:snapToGrid w:val="0"/>
              <w:jc w:val="center"/>
              <w:rPr>
                <w:rFonts w:ascii="Times New Roman" w:hAnsi="Times New Roman" w:eastAsia="宋体" w:cs="Times New Roman"/>
                <w:b/>
                <w:bCs/>
                <w:color w:val="auto"/>
                <w:spacing w:val="-6"/>
                <w:sz w:val="24"/>
                <w:szCs w:val="24"/>
              </w:rPr>
            </w:pPr>
            <w:r>
              <w:rPr>
                <w:rFonts w:ascii="Times New Roman" w:hAnsi="Times New Roman" w:eastAsia="宋体" w:cs="Times New Roman"/>
                <w:b/>
                <w:bCs/>
                <w:color w:val="auto"/>
                <w:spacing w:val="-6"/>
                <w:sz w:val="24"/>
                <w:szCs w:val="24"/>
              </w:rPr>
              <w:t>用地（用海）</w:t>
            </w:r>
          </w:p>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6"/>
                <w:sz w:val="24"/>
                <w:szCs w:val="24"/>
              </w:rPr>
              <w:t>面积（m</w:t>
            </w:r>
            <w:r>
              <w:rPr>
                <w:rFonts w:ascii="Times New Roman" w:hAnsi="Times New Roman" w:eastAsia="宋体" w:cs="Times New Roman"/>
                <w:b/>
                <w:bCs/>
                <w:color w:val="auto"/>
                <w:spacing w:val="-6"/>
                <w:sz w:val="24"/>
                <w:szCs w:val="24"/>
                <w:vertAlign w:val="superscript"/>
              </w:rPr>
              <w:t>2</w:t>
            </w:r>
            <w:r>
              <w:rPr>
                <w:rFonts w:ascii="Times New Roman" w:hAnsi="Times New Roman" w:eastAsia="宋体" w:cs="Times New Roman"/>
                <w:b/>
                <w:bCs/>
                <w:color w:val="auto"/>
                <w:spacing w:val="-6"/>
                <w:sz w:val="24"/>
                <w:szCs w:val="24"/>
              </w:rPr>
              <w:t>）</w:t>
            </w:r>
          </w:p>
        </w:tc>
        <w:tc>
          <w:tcPr>
            <w:tcW w:w="2776" w:type="dxa"/>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40000</w:t>
            </w:r>
            <w:r>
              <w:rPr>
                <w:rFonts w:ascii="Times New Roman" w:hAnsi="Times New Roman" w:eastAsia="宋体" w:cs="Times New Roman"/>
                <w:color w:val="auto"/>
                <w:spacing w:val="-6"/>
                <w:sz w:val="24"/>
                <w:szCs w:val="24"/>
              </w:rPr>
              <w:t>m</w:t>
            </w:r>
            <w:r>
              <w:rPr>
                <w:rFonts w:ascii="Times New Roman" w:hAnsi="Times New Roman" w:eastAsia="宋体" w:cs="Times New Roman"/>
                <w:color w:val="auto"/>
                <w:spacing w:val="-6"/>
                <w:sz w:val="24"/>
                <w:szCs w:val="24"/>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21" w:hRule="atLeast"/>
          <w:jc w:val="center"/>
        </w:trPr>
        <w:tc>
          <w:tcPr>
            <w:tcW w:w="1983" w:type="dxa"/>
            <w:gridSpan w:val="2"/>
            <w:tcBorders>
              <w:tl2br w:val="nil"/>
              <w:tr2bl w:val="nil"/>
            </w:tcBorders>
            <w:vAlign w:val="center"/>
          </w:tcPr>
          <w:p>
            <w:pPr>
              <w:autoSpaceDE w:val="0"/>
              <w:autoSpaceDN w:val="0"/>
              <w:adjustRightInd w:val="0"/>
              <w:snapToGrid w:val="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专项评价设置情况</w:t>
            </w:r>
          </w:p>
        </w:tc>
        <w:tc>
          <w:tcPr>
            <w:tcW w:w="6887" w:type="dxa"/>
            <w:gridSpan w:val="4"/>
            <w:tcBorders>
              <w:tl2br w:val="nil"/>
              <w:tr2bl w:val="nil"/>
            </w:tcBorders>
            <w:vAlign w:val="center"/>
          </w:tcPr>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根据《建设项目环境影响报告表编制技术指南》，新增废水直排的污水集中处理厂项目，需设置地表水环境影响专项评价。本项目为污水处理厂</w:t>
            </w:r>
            <w:r>
              <w:rPr>
                <w:rFonts w:hint="eastAsia" w:ascii="Times New Roman" w:hAnsi="Times New Roman" w:eastAsia="宋体" w:cs="Times New Roman"/>
                <w:color w:val="auto"/>
                <w:sz w:val="24"/>
                <w:szCs w:val="24"/>
                <w:lang w:val="en-US" w:eastAsia="zh-CN"/>
              </w:rPr>
              <w:t>新</w:t>
            </w:r>
            <w:r>
              <w:rPr>
                <w:rFonts w:ascii="Times New Roman" w:hAnsi="Times New Roman" w:eastAsia="宋体" w:cs="Times New Roman"/>
                <w:color w:val="auto"/>
                <w:sz w:val="24"/>
                <w:szCs w:val="24"/>
              </w:rPr>
              <w:t>建项目，</w:t>
            </w:r>
            <w:r>
              <w:rPr>
                <w:rFonts w:hint="eastAsia" w:ascii="Times New Roman" w:hAnsi="Times New Roman" w:eastAsia="宋体" w:cs="Times New Roman"/>
                <w:color w:val="auto"/>
                <w:sz w:val="24"/>
                <w:szCs w:val="24"/>
                <w:lang w:val="en-US" w:eastAsia="zh-CN"/>
              </w:rPr>
              <w:t>项目产生的3</w:t>
            </w:r>
            <w:r>
              <w:rPr>
                <w:rFonts w:ascii="Times New Roman" w:hAnsi="Times New Roman" w:eastAsia="宋体" w:cs="Times New Roman"/>
                <w:color w:val="auto"/>
                <w:sz w:val="24"/>
                <w:szCs w:val="24"/>
              </w:rPr>
              <w:t>0000m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/d的废水</w:t>
            </w:r>
            <w:r>
              <w:rPr>
                <w:rFonts w:hint="eastAsia" w:ascii="Times New Roman" w:hAnsi="Times New Roman" w:eastAsia="宋体" w:cs="Times New Roman"/>
                <w:color w:val="auto"/>
                <w:sz w:val="24"/>
                <w:szCs w:val="24"/>
                <w:lang w:val="en-US" w:eastAsia="zh-CN"/>
              </w:rPr>
              <w:t>排入</w:t>
            </w:r>
            <w:r>
              <w:rPr>
                <w:rFonts w:ascii="Times New Roman" w:hAnsi="Times New Roman" w:eastAsia="宋体" w:cs="Times New Roman"/>
                <w:color w:val="auto"/>
                <w:sz w:val="24"/>
                <w:szCs w:val="24"/>
              </w:rPr>
              <w:t>滹沱河，因此设置地表水环境影响专项评价。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47" w:hRule="atLeast"/>
          <w:jc w:val="center"/>
        </w:trPr>
        <w:tc>
          <w:tcPr>
            <w:tcW w:w="1983" w:type="dxa"/>
            <w:gridSpan w:val="2"/>
            <w:tcBorders>
              <w:tl2br w:val="nil"/>
              <w:tr2bl w:val="nil"/>
            </w:tcBorders>
            <w:vAlign w:val="center"/>
          </w:tcPr>
          <w:p>
            <w:pPr>
              <w:autoSpaceDE w:val="0"/>
              <w:autoSpaceDN w:val="0"/>
              <w:adjustRightInd w:val="0"/>
              <w:snapToGrid w:val="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sz w:val="24"/>
                <w:szCs w:val="24"/>
              </w:rPr>
              <w:t>规划情况</w:t>
            </w:r>
          </w:p>
        </w:tc>
        <w:tc>
          <w:tcPr>
            <w:tcW w:w="6887" w:type="dxa"/>
            <w:gridSpan w:val="4"/>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21" w:hRule="atLeast"/>
          <w:jc w:val="center"/>
        </w:trPr>
        <w:tc>
          <w:tcPr>
            <w:tcW w:w="1983" w:type="dxa"/>
            <w:gridSpan w:val="2"/>
            <w:tcBorders>
              <w:tl2br w:val="nil"/>
              <w:tr2bl w:val="nil"/>
            </w:tcBorders>
            <w:vAlign w:val="center"/>
          </w:tcPr>
          <w:p>
            <w:pPr>
              <w:adjustRightInd w:val="0"/>
              <w:snapToGrid w:val="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规划环境影响</w:t>
            </w:r>
          </w:p>
          <w:p>
            <w:pPr>
              <w:adjustRightInd w:val="0"/>
              <w:snapToGrid w:val="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sz w:val="24"/>
                <w:szCs w:val="24"/>
              </w:rPr>
              <w:t>评价情况</w:t>
            </w:r>
          </w:p>
        </w:tc>
        <w:tc>
          <w:tcPr>
            <w:tcW w:w="6887" w:type="dxa"/>
            <w:gridSpan w:val="4"/>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21" w:hRule="atLeast"/>
          <w:jc w:val="center"/>
        </w:trPr>
        <w:tc>
          <w:tcPr>
            <w:tcW w:w="1983" w:type="dxa"/>
            <w:gridSpan w:val="2"/>
            <w:tcBorders>
              <w:tl2br w:val="nil"/>
              <w:tr2bl w:val="nil"/>
            </w:tcBorders>
            <w:vAlign w:val="center"/>
          </w:tcPr>
          <w:p>
            <w:pPr>
              <w:autoSpaceDE w:val="0"/>
              <w:autoSpaceDN w:val="0"/>
              <w:adjustRightInd w:val="0"/>
              <w:snapToGrid w:val="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规划及规划环境</w:t>
            </w:r>
          </w:p>
          <w:p>
            <w:pPr>
              <w:autoSpaceDE w:val="0"/>
              <w:autoSpaceDN w:val="0"/>
              <w:adjustRightInd w:val="0"/>
              <w:snapToGrid w:val="0"/>
              <w:jc w:val="center"/>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影响评价符合性分析</w:t>
            </w:r>
          </w:p>
        </w:tc>
        <w:tc>
          <w:tcPr>
            <w:tcW w:w="6887" w:type="dxa"/>
            <w:gridSpan w:val="4"/>
            <w:tcBorders>
              <w:tl2br w:val="nil"/>
              <w:tr2bl w:val="nil"/>
            </w:tcBorders>
            <w:vAlign w:val="center"/>
          </w:tcPr>
          <w:p>
            <w:pPr>
              <w:adjustRightInd w:val="0"/>
              <w:snapToGri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882" w:hRule="atLeast"/>
          <w:jc w:val="center"/>
        </w:trPr>
        <w:tc>
          <w:tcPr>
            <w:tcW w:w="488"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kern w:val="0"/>
                <w:sz w:val="24"/>
                <w:szCs w:val="24"/>
              </w:rPr>
            </w:pPr>
            <w:r>
              <w:rPr>
                <w:rFonts w:ascii="Times New Roman" w:hAnsi="Times New Roman" w:eastAsia="宋体" w:cs="Times New Roman"/>
                <w:b/>
                <w:bCs/>
                <w:color w:val="auto"/>
                <w:kern w:val="0"/>
                <w:sz w:val="24"/>
                <w:szCs w:val="24"/>
              </w:rPr>
              <w:t>其他符合性分析</w:t>
            </w:r>
          </w:p>
        </w:tc>
        <w:tc>
          <w:tcPr>
            <w:tcW w:w="8382"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1.1政策符合性分析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1.1.1 项目与《产业结构调整指导目录（2019年本）》符合性分析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根据《产业结构调整指导目录》（2019本），本项目属于鼓励类“四十三、环境保护与资源节约综合利用”中的“15、“三废”综合利用与治理技术、装备和工程”，因此该项目符合国家和山西省产业政策要求。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1.1.2 项目与“三线一单”的符合性分析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环境保护部文件《关于以改善环境质量为核心加强环境影响评价管理的通知（环环评【2016】150号）》，三线一清单中的三线是指“生态保护红线、环境质量底线、资源利用上线”，一清单，就是规划环境准入负面清单。</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1）与生态保护红线符合性分析</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本项目位于</w:t>
            </w:r>
            <w:r>
              <w:rPr>
                <w:rFonts w:hint="eastAsia" w:ascii="Times New Roman" w:hAnsi="Times New Roman" w:eastAsia="宋体" w:cs="Times New Roman"/>
                <w:color w:val="auto"/>
                <w:sz w:val="24"/>
                <w:szCs w:val="24"/>
                <w:lang w:val="en-US" w:eastAsia="zh-CN"/>
              </w:rPr>
              <w:t>忻州市繁峙县笔锋</w:t>
            </w:r>
            <w:r>
              <w:rPr>
                <w:rFonts w:hint="default" w:ascii="Times New Roman" w:hAnsi="Times New Roman" w:eastAsia="宋体" w:cs="Times New Roman"/>
                <w:color w:val="auto"/>
                <w:sz w:val="24"/>
                <w:szCs w:val="24"/>
                <w:lang w:val="en-US" w:eastAsia="zh-CN"/>
              </w:rPr>
              <w:t>村</w:t>
            </w:r>
            <w:r>
              <w:rPr>
                <w:rFonts w:hint="eastAsia" w:ascii="Times New Roman" w:hAnsi="Times New Roman" w:eastAsia="宋体" w:cs="Times New Roman"/>
                <w:color w:val="auto"/>
                <w:sz w:val="24"/>
                <w:szCs w:val="24"/>
                <w:lang w:val="en-US" w:eastAsia="zh-CN"/>
              </w:rPr>
              <w:t>西南侧1.34km处</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根据项目用地预审与选址意见书，项目用地类型为未利用地，厂区现状为耕地</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项目的建设符合国土空间用途管制要求（见附件），且</w:t>
            </w:r>
            <w:r>
              <w:rPr>
                <w:rFonts w:ascii="Times New Roman" w:hAnsi="Times New Roman" w:eastAsia="宋体" w:cs="Times New Roman"/>
                <w:color w:val="auto"/>
                <w:sz w:val="24"/>
                <w:szCs w:val="24"/>
              </w:rPr>
              <w:t>项目选址不涉及自然保护区、风景名胜区、饮用水水源保护区、森林公园、地质公园等，不在重要生态功能区、生态敏感区和脆弱区以及其他要求禁止建设的环境敏感区内，</w:t>
            </w:r>
            <w:r>
              <w:rPr>
                <w:rFonts w:hint="eastAsia" w:ascii="Times New Roman" w:hAnsi="Times New Roman" w:eastAsia="宋体" w:cs="Times New Roman"/>
                <w:color w:val="auto"/>
                <w:sz w:val="24"/>
                <w:szCs w:val="24"/>
              </w:rPr>
              <w:t>项目选址与生态保护红线划定原则不冲突</w:t>
            </w:r>
            <w:r>
              <w:rPr>
                <w:rFonts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2）环境质量底线</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本次评价引用繁峙县2020年</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-12</w:t>
            </w:r>
            <w:r>
              <w:rPr>
                <w:rFonts w:hint="eastAsia" w:ascii="Times New Roman" w:hAnsi="Times New Roman" w:eastAsia="宋体" w:cs="Times New Roman"/>
                <w:color w:val="auto"/>
                <w:sz w:val="24"/>
                <w:szCs w:val="24"/>
              </w:rPr>
              <w:t>月</w:t>
            </w:r>
            <w:r>
              <w:rPr>
                <w:rFonts w:ascii="Times New Roman" w:hAnsi="Times New Roman" w:eastAsia="宋体" w:cs="Times New Roman"/>
                <w:color w:val="auto"/>
                <w:sz w:val="24"/>
                <w:szCs w:val="24"/>
              </w:rPr>
              <w:t>环境空气例行监测数据，</w:t>
            </w:r>
            <w:r>
              <w:rPr>
                <w:rFonts w:hint="eastAsia" w:ascii="Times New Roman" w:hAnsi="Times New Roman" w:eastAsia="宋体" w:cs="Times New Roman"/>
                <w:color w:val="auto"/>
                <w:sz w:val="24"/>
                <w:szCs w:val="24"/>
              </w:rPr>
              <w:t>其中</w:t>
            </w:r>
            <w:r>
              <w:rPr>
                <w:rFonts w:ascii="Times New Roman" w:hAnsi="Times New Roman" w:eastAsia="宋体" w:cs="Times New Roman"/>
                <w:color w:val="auto"/>
                <w:sz w:val="24"/>
                <w:szCs w:val="24"/>
                <w:lang w:val="zh-CN"/>
              </w:rPr>
              <w:t>NO</w:t>
            </w:r>
            <w:r>
              <w:rPr>
                <w:rFonts w:ascii="Times New Roman" w:hAnsi="Times New Roman" w:eastAsia="宋体" w:cs="Times New Roman"/>
                <w:color w:val="auto"/>
                <w:sz w:val="24"/>
                <w:szCs w:val="24"/>
                <w:vertAlign w:val="subscript"/>
                <w:lang w:val="zh-CN"/>
              </w:rPr>
              <w:t>2</w:t>
            </w:r>
            <w:r>
              <w:rPr>
                <w:rFonts w:ascii="Times New Roman" w:hAnsi="Times New Roman" w:eastAsia="宋体" w:cs="Times New Roman"/>
                <w:color w:val="auto"/>
                <w:sz w:val="24"/>
                <w:szCs w:val="24"/>
                <w:lang w:val="zh-CN"/>
              </w:rPr>
              <w:t>、</w:t>
            </w:r>
            <w:r>
              <w:rPr>
                <w:rFonts w:ascii="Times New Roman" w:hAnsi="Times New Roman" w:eastAsia="宋体" w:cs="Times New Roman"/>
                <w:color w:val="auto"/>
                <w:sz w:val="24"/>
                <w:szCs w:val="24"/>
              </w:rPr>
              <w:t>CO</w:t>
            </w:r>
            <w:r>
              <w:rPr>
                <w:rFonts w:ascii="Times New Roman" w:hAnsi="Times New Roman" w:eastAsia="宋体" w:cs="Times New Roman"/>
                <w:color w:val="auto"/>
                <w:sz w:val="24"/>
                <w:szCs w:val="24"/>
                <w:lang w:val="zh-CN"/>
              </w:rPr>
              <w:t>、</w:t>
            </w:r>
            <w:r>
              <w:rPr>
                <w:rFonts w:ascii="Times New Roman" w:hAnsi="Times New Roman" w:eastAsia="宋体" w:cs="Times New Roman"/>
                <w:color w:val="auto"/>
                <w:sz w:val="24"/>
                <w:szCs w:val="24"/>
              </w:rPr>
              <w:t>O</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(8h</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val="zh-CN"/>
              </w:rPr>
              <w:t>、PM</w:t>
            </w:r>
            <w:r>
              <w:rPr>
                <w:rFonts w:ascii="Times New Roman" w:hAnsi="Times New Roman" w:eastAsia="宋体" w:cs="Times New Roman"/>
                <w:color w:val="auto"/>
                <w:sz w:val="24"/>
                <w:szCs w:val="24"/>
                <w:vertAlign w:val="subscript"/>
                <w:lang w:val="zh-CN"/>
              </w:rPr>
              <w:t>2.5</w:t>
            </w:r>
            <w:r>
              <w:rPr>
                <w:rFonts w:ascii="Times New Roman" w:hAnsi="Times New Roman" w:eastAsia="宋体" w:cs="Times New Roman"/>
                <w:color w:val="auto"/>
                <w:sz w:val="24"/>
                <w:szCs w:val="24"/>
                <w:lang w:val="zh-CN"/>
              </w:rPr>
              <w:t>、SO</w:t>
            </w:r>
            <w:r>
              <w:rPr>
                <w:rFonts w:ascii="Times New Roman" w:hAnsi="Times New Roman" w:eastAsia="宋体" w:cs="Times New Roman"/>
                <w:color w:val="auto"/>
                <w:sz w:val="24"/>
                <w:szCs w:val="24"/>
                <w:vertAlign w:val="subscript"/>
                <w:lang w:val="zh-CN"/>
              </w:rPr>
              <w:t>2</w:t>
            </w:r>
            <w:r>
              <w:rPr>
                <w:rFonts w:ascii="Times New Roman" w:hAnsi="Times New Roman" w:eastAsia="宋体" w:cs="Times New Roman"/>
                <w:color w:val="auto"/>
                <w:sz w:val="24"/>
                <w:szCs w:val="24"/>
              </w:rPr>
              <w:t>能满足《环境空气质量标准》（GB3095-2012）中的二级标准要求；</w:t>
            </w:r>
            <w:r>
              <w:rPr>
                <w:rFonts w:ascii="Times New Roman" w:hAnsi="Times New Roman" w:eastAsia="宋体" w:cs="Times New Roman"/>
                <w:color w:val="auto"/>
                <w:sz w:val="24"/>
                <w:szCs w:val="24"/>
                <w:lang w:val="zh-CN"/>
              </w:rPr>
              <w:t>PM</w:t>
            </w:r>
            <w:r>
              <w:rPr>
                <w:rFonts w:ascii="Times New Roman" w:hAnsi="Times New Roman" w:eastAsia="宋体" w:cs="Times New Roman"/>
                <w:color w:val="auto"/>
                <w:sz w:val="24"/>
                <w:szCs w:val="24"/>
                <w:vertAlign w:val="subscript"/>
              </w:rPr>
              <w:t>10</w:t>
            </w:r>
            <w:r>
              <w:rPr>
                <w:rFonts w:ascii="Times New Roman" w:hAnsi="Times New Roman" w:eastAsia="宋体" w:cs="Times New Roman"/>
                <w:color w:val="auto"/>
                <w:sz w:val="24"/>
                <w:szCs w:val="24"/>
                <w:lang w:val="zh-CN"/>
              </w:rPr>
              <w:t>超过</w:t>
            </w:r>
            <w:r>
              <w:rPr>
                <w:rFonts w:ascii="Times New Roman" w:hAnsi="Times New Roman" w:eastAsia="宋体" w:cs="Times New Roman"/>
                <w:color w:val="auto"/>
                <w:sz w:val="24"/>
                <w:szCs w:val="24"/>
              </w:rPr>
              <w:t>《环境空气质量标准》（GB3095-2012）二级标准限值要求</w:t>
            </w:r>
            <w:r>
              <w:rPr>
                <w:rFonts w:hint="eastAsia" w:ascii="Times New Roman" w:hAnsi="Times New Roman" w:eastAsia="宋体" w:cs="Times New Roman"/>
                <w:color w:val="auto"/>
                <w:sz w:val="24"/>
                <w:szCs w:val="24"/>
              </w:rPr>
              <w:t>，本项目所在区域为环境空气质量不达标区。</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rPr>
            </w:pPr>
            <w:r>
              <w:rPr>
                <w:rFonts w:ascii="Times New Roman" w:hAnsi="Times New Roman" w:eastAsia="宋体" w:cs="Times New Roman"/>
                <w:color w:val="auto"/>
                <w:sz w:val="24"/>
                <w:szCs w:val="24"/>
              </w:rPr>
              <w:t>本项目最近地表水为滹沱河，属于“</w:t>
            </w:r>
            <w:r>
              <w:rPr>
                <w:rFonts w:hint="eastAsia" w:ascii="Times New Roman" w:hAnsi="Times New Roman" w:eastAsia="宋体" w:cs="Times New Roman"/>
                <w:color w:val="auto"/>
                <w:sz w:val="24"/>
                <w:szCs w:val="24"/>
                <w:lang w:val="en-US" w:eastAsia="zh-CN"/>
              </w:rPr>
              <w:t>笔锋</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代县桥</w:t>
            </w:r>
            <w:r>
              <w:rPr>
                <w:rFonts w:ascii="Times New Roman" w:hAnsi="Times New Roman" w:eastAsia="宋体" w:cs="Times New Roman"/>
                <w:color w:val="auto"/>
                <w:sz w:val="24"/>
                <w:szCs w:val="24"/>
              </w:rPr>
              <w:t>”区段，为工业用水保护，执行GB3838-2002《地表水环境质量标</w:t>
            </w:r>
            <w:r>
              <w:rPr>
                <w:rFonts w:hint="default" w:ascii="Times New Roman" w:hAnsi="Times New Roman" w:eastAsia="宋体" w:cs="Times New Roman"/>
                <w:color w:val="auto"/>
                <w:sz w:val="24"/>
                <w:szCs w:val="24"/>
              </w:rPr>
              <w:t>准》Ⅱ类水</w:t>
            </w:r>
            <w:r>
              <w:rPr>
                <w:rFonts w:ascii="Times New Roman" w:hAnsi="Times New Roman" w:eastAsia="宋体" w:cs="Times New Roman"/>
                <w:color w:val="auto"/>
                <w:sz w:val="24"/>
                <w:szCs w:val="24"/>
              </w:rPr>
              <w:t>质标准，监测断面为</w:t>
            </w:r>
            <w:r>
              <w:rPr>
                <w:rFonts w:hint="eastAsia" w:ascii="Times New Roman" w:hAnsi="Times New Roman" w:eastAsia="宋体" w:cs="Times New Roman"/>
                <w:color w:val="auto"/>
                <w:sz w:val="24"/>
                <w:szCs w:val="24"/>
                <w:lang w:val="en-US" w:eastAsia="zh-CN"/>
              </w:rPr>
              <w:t>笔锋断面</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根据忻州市生态环境局发布的《关于忻州市2021年12月及全年地表水环境质量的通报</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笔锋断面</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月</w:t>
            </w:r>
            <w:r>
              <w:rPr>
                <w:rFonts w:ascii="Times New Roman" w:hAnsi="Times New Roman" w:eastAsia="宋体" w:cs="Times New Roman"/>
                <w:color w:val="auto"/>
                <w:sz w:val="24"/>
                <w:szCs w:val="24"/>
              </w:rPr>
              <w:t>水质</w:t>
            </w:r>
            <w:r>
              <w:rPr>
                <w:rFonts w:hint="eastAsia"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劣</w:t>
            </w:r>
            <w:r>
              <w:rPr>
                <w:rFonts w:ascii="Times New Roman" w:hAnsi="Times New Roman" w:eastAsia="宋体" w:cs="Times New Roman"/>
                <w:color w:val="auto"/>
                <w:sz w:val="24"/>
                <w:szCs w:val="24"/>
              </w:rPr>
              <w:t>Ⅴ类</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11月水质为Ⅳ类，12月水质为III类，</w:t>
            </w:r>
            <w:r>
              <w:rPr>
                <w:rFonts w:hint="eastAsia" w:ascii="Times New Roman" w:hAnsi="Times New Roman" w:eastAsia="宋体" w:cs="Times New Roman"/>
                <w:color w:val="auto"/>
                <w:sz w:val="24"/>
                <w:szCs w:val="24"/>
              </w:rPr>
              <w:t>水质</w:t>
            </w:r>
            <w:r>
              <w:rPr>
                <w:rFonts w:ascii="Times New Roman" w:hAnsi="Times New Roman" w:eastAsia="宋体" w:cs="Times New Roman"/>
                <w:color w:val="auto"/>
                <w:sz w:val="24"/>
                <w:szCs w:val="24"/>
              </w:rPr>
              <w:t>不达标。</w:t>
            </w:r>
            <w:r>
              <w:rPr>
                <w:rFonts w:hint="eastAsia" w:ascii="Times New Roman" w:hAnsi="Times New Roman" w:eastAsia="宋体" w:cs="Times New Roman"/>
                <w:color w:val="auto"/>
                <w:sz w:val="24"/>
                <w:szCs w:val="24"/>
                <w:lang w:val="en-US" w:eastAsia="zh-CN"/>
              </w:rPr>
              <w:t>由于繁</w:t>
            </w:r>
            <w:r>
              <w:rPr>
                <w:rFonts w:ascii="Times New Roman" w:hAnsi="Times New Roman" w:eastAsia="宋体" w:cs="Times New Roman"/>
                <w:color w:val="auto"/>
                <w:sz w:val="24"/>
                <w:szCs w:val="24"/>
              </w:rPr>
              <w:t>峙县</w:t>
            </w:r>
            <w:r>
              <w:rPr>
                <w:rFonts w:hint="eastAsia" w:ascii="Times New Roman" w:hAnsi="Times New Roman" w:eastAsia="宋体" w:cs="Times New Roman"/>
                <w:color w:val="auto"/>
                <w:sz w:val="24"/>
                <w:szCs w:val="24"/>
                <w:lang w:val="en-US" w:eastAsia="zh-CN"/>
              </w:rPr>
              <w:t>第一</w:t>
            </w:r>
            <w:r>
              <w:rPr>
                <w:rFonts w:ascii="Times New Roman" w:hAnsi="Times New Roman" w:eastAsia="宋体" w:cs="Times New Roman"/>
                <w:color w:val="auto"/>
                <w:sz w:val="24"/>
                <w:szCs w:val="24"/>
              </w:rPr>
              <w:t>污水处理厂</w:t>
            </w:r>
            <w:r>
              <w:rPr>
                <w:rFonts w:hint="eastAsia" w:ascii="Times New Roman" w:hAnsi="Times New Roman" w:eastAsia="宋体" w:cs="Times New Roman"/>
                <w:color w:val="auto"/>
                <w:sz w:val="24"/>
                <w:szCs w:val="24"/>
                <w:lang w:val="en-US" w:eastAsia="zh-CN"/>
              </w:rPr>
              <w:t>距离笔锋断面较近，其位于笔锋监测断面上游，且第一</w:t>
            </w:r>
            <w:r>
              <w:rPr>
                <w:rFonts w:ascii="Times New Roman" w:hAnsi="Times New Roman" w:eastAsia="宋体" w:cs="Times New Roman"/>
                <w:color w:val="auto"/>
                <w:sz w:val="24"/>
                <w:szCs w:val="24"/>
              </w:rPr>
              <w:t>污水处理厂</w:t>
            </w:r>
            <w:r>
              <w:rPr>
                <w:rFonts w:hint="eastAsia" w:ascii="Times New Roman" w:hAnsi="Times New Roman" w:eastAsia="宋体" w:cs="Times New Roman"/>
                <w:color w:val="auto"/>
                <w:sz w:val="24"/>
                <w:szCs w:val="24"/>
                <w:lang w:val="en-US" w:eastAsia="zh-CN"/>
              </w:rPr>
              <w:t>已超负荷运行，且处理工艺落后，设备陈旧，出水水质无法稳定达标，因此对笔锋断面水质监测结果影响较大。本项目建成后收水范围为县城全部污水，繁</w:t>
            </w:r>
            <w:r>
              <w:rPr>
                <w:rFonts w:ascii="Times New Roman" w:hAnsi="Times New Roman" w:eastAsia="宋体" w:cs="Times New Roman"/>
                <w:color w:val="auto"/>
                <w:sz w:val="24"/>
                <w:szCs w:val="24"/>
              </w:rPr>
              <w:t>峙县</w:t>
            </w:r>
            <w:r>
              <w:rPr>
                <w:rFonts w:hint="eastAsia" w:ascii="Times New Roman" w:hAnsi="Times New Roman" w:eastAsia="宋体" w:cs="Times New Roman"/>
                <w:color w:val="auto"/>
                <w:sz w:val="24"/>
                <w:szCs w:val="24"/>
                <w:lang w:val="en-US" w:eastAsia="zh-CN"/>
              </w:rPr>
              <w:t>第一</w:t>
            </w:r>
            <w:r>
              <w:rPr>
                <w:rFonts w:ascii="Times New Roman" w:hAnsi="Times New Roman" w:eastAsia="宋体" w:cs="Times New Roman"/>
                <w:color w:val="auto"/>
                <w:sz w:val="24"/>
                <w:szCs w:val="24"/>
              </w:rPr>
              <w:t>污水处理厂</w:t>
            </w:r>
            <w:r>
              <w:rPr>
                <w:rFonts w:hint="eastAsia" w:ascii="Times New Roman" w:hAnsi="Times New Roman" w:eastAsia="宋体" w:cs="Times New Roman"/>
                <w:color w:val="auto"/>
                <w:sz w:val="24"/>
                <w:szCs w:val="24"/>
                <w:lang w:val="en-US" w:eastAsia="zh-CN"/>
              </w:rPr>
              <w:t>停止使用，将极大改善笔锋断面水质。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为进一步了解项目附近地表水环境质量状况，本次共设置5个地表水监测点位，分别为排污口上游50m、500m，排污口下游500m、1500m、2</w:t>
            </w:r>
            <w:r>
              <w:rPr>
                <w:rFonts w:hint="eastAsia" w:ascii="Times New Roman" w:hAnsi="Times New Roman" w:eastAsia="宋体" w:cs="Times New Roman"/>
                <w:color w:val="auto"/>
                <w:sz w:val="24"/>
                <w:szCs w:val="24"/>
                <w:lang w:val="en-US" w:eastAsia="zh-CN"/>
              </w:rPr>
              <w:t>0</w:t>
            </w:r>
            <w:r>
              <w:rPr>
                <w:rFonts w:ascii="Times New Roman" w:hAnsi="Times New Roman" w:eastAsia="宋体" w:cs="Times New Roman"/>
                <w:color w:val="auto"/>
                <w:sz w:val="24"/>
                <w:szCs w:val="24"/>
              </w:rPr>
              <w:t>00m处，由监测结果可知</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各监测点位</w:t>
            </w:r>
            <w:r>
              <w:rPr>
                <w:rFonts w:hint="default" w:ascii="Times New Roman" w:hAnsi="Times New Roman" w:eastAsia="宋体" w:cs="Times New Roman"/>
                <w:color w:val="auto"/>
                <w:sz w:val="24"/>
                <w:szCs w:val="24"/>
              </w:rPr>
              <w:t>溶解氧、氨氮、总氮、总磷四项指标超标，其他指标符合地表水Ⅱ类标准。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本次评价在厂区内地下水下游方向设一个柱状样点以留作背景值，</w:t>
            </w:r>
            <w:r>
              <w:rPr>
                <w:rFonts w:ascii="Times New Roman" w:hAnsi="Times New Roman" w:eastAsia="宋体" w:cs="Times New Roman"/>
                <w:color w:val="auto"/>
                <w:sz w:val="24"/>
                <w:szCs w:val="24"/>
              </w:rPr>
              <w:t>土壤监测结果表明，项目建设用地土壤环境质量满足《土壤环境质量 建设用地土壤污染风险管控标准（试行）》（GB36600-2018）中第二类建设用地土壤污染风险筛选值标准，项目区域土壤</w:t>
            </w:r>
            <w:r>
              <w:rPr>
                <w:rFonts w:hint="eastAsia" w:ascii="Times New Roman" w:hAnsi="Times New Roman" w:eastAsia="宋体" w:cs="Times New Roman"/>
                <w:color w:val="auto"/>
                <w:sz w:val="24"/>
                <w:szCs w:val="24"/>
              </w:rPr>
              <w:t>环境</w:t>
            </w:r>
            <w:r>
              <w:rPr>
                <w:rFonts w:ascii="Times New Roman" w:hAnsi="Times New Roman" w:eastAsia="宋体" w:cs="Times New Roman"/>
                <w:color w:val="auto"/>
                <w:sz w:val="24"/>
                <w:szCs w:val="24"/>
              </w:rPr>
              <w:t>质量良好。</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产生的废气、废水、噪声在采取评价提出的各项措施后，能够满足达标排放的要求；固体废物分类妥善处置。根据环境影响分析，项目对周边环境影响轻微，当地环境基本能维持现状。本项目建设不违背环境质量底线的管理要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3）资源利用上线</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本项目使用的能源主要为电能，项目所在区周围能源丰富，项目生产过程中利用节能设备，减少能源的用量，符合资源利用上线要求。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4）环境准入负面清单</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环境准入负面清单是基于生态保护红线、环境质量底线和资源利用上线列出的禁止、限制等差别化环境准入条件和要求。本项目为生活污水处理站的建设，</w:t>
            </w:r>
            <w:r>
              <w:rPr>
                <w:rFonts w:hint="eastAsia" w:ascii="Times New Roman" w:hAnsi="Times New Roman" w:eastAsia="宋体" w:cs="Times New Roman"/>
                <w:color w:val="auto"/>
                <w:sz w:val="24"/>
                <w:szCs w:val="24"/>
              </w:rPr>
              <w:t>根据《产业结构调整指导目录（</w:t>
            </w:r>
            <w:r>
              <w:rPr>
                <w:rFonts w:ascii="Times New Roman" w:hAnsi="Times New Roman" w:eastAsia="宋体" w:cs="Times New Roman"/>
                <w:color w:val="auto"/>
                <w:sz w:val="24"/>
                <w:szCs w:val="24"/>
              </w:rPr>
              <w:t>2019年本）》中规定，本项目属于鼓励类，不违背环境准入负面清单的原则要求。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综上所述，本项目符合“三线一单”要求。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1.1.3 项目与《关于实施“三线一单”生态环境分区管控的意见》（晋政发〔2020〕26号）的符合性分析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根据山西省人民政府发布的《关于实施“三线一单”生态环境分区管控的意见》晋政发〔2020〕26号），本项目所在位置属于重点管控单元（见附图8），该区域进一步优化空间布局</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加强污染物排放控制和环境风险防控</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不断提升资源能源利用效率</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解决生态环境质量不达标、生态环境风险高等问题</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实现减污降碳协同效应。京津冀及周边地区和汾渭平原等国家大气污染联防联控重点区域，要加快调整优化产业结构、能源结构</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严禁新增钢铁、焦化、铸造、水泥、平板玻璃等产能</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要加快实施城市规划区“两高”企业搬迁</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完善能源消费双控制度。实施企业绩效分级分类管控，强化联防联控</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持续推进清洁取暖散煤治理</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严防“散乱污”企业反弹</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积极应对重污染天气。太原及周边“1+30”汾河谷地区域在执行京津冀及周边地区和汾渭平原区域管控要求基础上</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以资源环境承载力为约束</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全面推进现有焦化、化工、钢铁、有色等重污染行业企业逐步退出城市规划区和县城建成区</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推动焦化产能向资源禀赋好、环境承载力强、大气扩散条件优、铁路运输便利的区域转移。鼓励焦化、化工等传统产业实施“飞地经济”。汾河流域加强流域上下游左右岸污染统筹治理</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严格入河排污口设置</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实施汾河入河排污总量控制，积极推行流域城镇生活污水处理“厂—网—河（湖）”一体化运营模式</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大力推进工业废水近零排放和资源化利用，实施城镇生活再生水资源化分质利用。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本项目为污水处理厂项目，不属于钢铁、铸造、水泥等高碳、高耗能、高排放项目，项目产生的废水经污水处理</w:t>
            </w:r>
            <w:r>
              <w:rPr>
                <w:rFonts w:hint="eastAsia" w:ascii="Times New Roman" w:hAnsi="Times New Roman" w:eastAsia="宋体" w:cs="Times New Roman"/>
                <w:color w:val="auto"/>
                <w:sz w:val="24"/>
                <w:szCs w:val="24"/>
              </w:rPr>
              <w:t>厂</w:t>
            </w:r>
            <w:r>
              <w:rPr>
                <w:rFonts w:ascii="Times New Roman" w:hAnsi="Times New Roman" w:eastAsia="宋体" w:cs="Times New Roman"/>
                <w:color w:val="auto"/>
                <w:sz w:val="24"/>
                <w:szCs w:val="24"/>
              </w:rPr>
              <w:t>处理后排入滹沱河，各污染物经过环评规定的环保措施后可做到达标排放，对周围区域环境影响较小，故本项目的建设符合《关于实施“三线一单”生态环境分区管控的意见》。</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w:t>
            </w:r>
            <w:r>
              <w:rPr>
                <w:rFonts w:ascii="Times New Roman" w:hAnsi="Times New Roman" w:eastAsia="宋体" w:cs="Times New Roman"/>
                <w:b/>
                <w:bCs/>
                <w:color w:val="auto"/>
                <w:sz w:val="24"/>
                <w:szCs w:val="24"/>
              </w:rPr>
              <w:t xml:space="preserve">.1.4 </w:t>
            </w:r>
            <w:r>
              <w:rPr>
                <w:rFonts w:hint="eastAsia" w:ascii="Times New Roman" w:hAnsi="Times New Roman" w:eastAsia="宋体" w:cs="Times New Roman"/>
                <w:b/>
                <w:bCs/>
                <w:color w:val="auto"/>
                <w:sz w:val="24"/>
                <w:szCs w:val="24"/>
              </w:rPr>
              <w:t>项目与《忻州市“三线一单”生态环境分区管控实施方案》（忻政发</w:t>
            </w:r>
            <w:r>
              <w:rPr>
                <w:rFonts w:ascii="Times New Roman" w:hAnsi="Times New Roman" w:eastAsia="宋体" w:cs="Times New Roman"/>
                <w:b/>
                <w:bCs/>
                <w:color w:val="auto"/>
                <w:sz w:val="24"/>
                <w:szCs w:val="24"/>
              </w:rPr>
              <w:t>〔2021〕12</w:t>
            </w:r>
            <w:r>
              <w:rPr>
                <w:rFonts w:hint="eastAsia" w:ascii="Times New Roman" w:hAnsi="Times New Roman" w:eastAsia="宋体" w:cs="Times New Roman"/>
                <w:b/>
                <w:bCs/>
                <w:color w:val="auto"/>
                <w:sz w:val="24"/>
                <w:szCs w:val="24"/>
              </w:rPr>
              <w:t>号）的符合性分析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根据忻州市人民政府发布的《忻州市“三线一单”生态环境分区管控实施方案》（忻政发〔</w:t>
            </w:r>
            <w:r>
              <w:rPr>
                <w:rFonts w:ascii="Times New Roman" w:hAnsi="Times New Roman" w:eastAsia="宋体" w:cs="Times New Roman"/>
                <w:color w:val="auto"/>
                <w:sz w:val="24"/>
                <w:szCs w:val="24"/>
              </w:rPr>
              <w:t>2021〕12号）</w:t>
            </w:r>
            <w:r>
              <w:rPr>
                <w:rFonts w:hint="eastAsia" w:ascii="Times New Roman" w:hAnsi="Times New Roman" w:eastAsia="宋体" w:cs="Times New Roman"/>
                <w:color w:val="auto"/>
                <w:sz w:val="24"/>
                <w:szCs w:val="24"/>
              </w:rPr>
              <w:t>，本项目所在位置属于</w:t>
            </w:r>
            <w:r>
              <w:rPr>
                <w:rFonts w:hint="eastAsia" w:ascii="Times New Roman" w:hAnsi="Times New Roman" w:eastAsia="宋体" w:cs="Times New Roman"/>
                <w:color w:val="auto"/>
                <w:sz w:val="24"/>
                <w:szCs w:val="24"/>
                <w:lang w:val="en-US" w:eastAsia="zh-CN"/>
              </w:rPr>
              <w:t>重点</w:t>
            </w:r>
            <w:r>
              <w:rPr>
                <w:rFonts w:hint="eastAsia" w:ascii="Times New Roman" w:hAnsi="Times New Roman" w:eastAsia="宋体" w:cs="Times New Roman"/>
                <w:color w:val="auto"/>
                <w:sz w:val="24"/>
                <w:szCs w:val="24"/>
              </w:rPr>
              <w:t>管控单元（见附图</w:t>
            </w:r>
            <w:r>
              <w:rPr>
                <w:rFonts w:hint="eastAsia" w:ascii="Times New Roman" w:hAnsi="Times New Roman" w:eastAsia="宋体" w:cs="Times New Roman"/>
                <w:color w:val="auto"/>
                <w:sz w:val="24"/>
                <w:szCs w:val="24"/>
                <w:lang w:val="en-US" w:eastAsia="zh-CN"/>
              </w:rPr>
              <w:t>9</w:t>
            </w:r>
            <w:r>
              <w:rPr>
                <w:rFonts w:hint="eastAsia" w:ascii="Times New Roman" w:hAnsi="Times New Roman" w:eastAsia="宋体" w:cs="Times New Roman"/>
                <w:color w:val="auto"/>
                <w:sz w:val="24"/>
                <w:szCs w:val="24"/>
              </w:rPr>
              <w:t>），重点管控单元既是产业高质量发展的承载区，也是环境污染治理和风险防范的重点区域。重点管控单元以生态修复和环境污染治理为主，进一步优化空间布局，加强污染物排放控制和环境风险防控，不断提升资源能源利用效率，解决生态环境质量不达标、生态环境风险高等问题，实现减污降碳协同效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为污水处理项目，该项目的建设有利于滹沱河水质的提升，产生良好的环境效益，项目产生的污染物在采取评价提出的各项措施后，能够满足达标排放的要求，因此本项目的建设符合《忻州市“三线一单”生态环境分区管控实施方案》（忻政发〔</w:t>
            </w:r>
            <w:r>
              <w:rPr>
                <w:rFonts w:ascii="Times New Roman" w:hAnsi="Times New Roman" w:eastAsia="宋体" w:cs="Times New Roman"/>
                <w:color w:val="auto"/>
                <w:sz w:val="24"/>
                <w:szCs w:val="24"/>
              </w:rPr>
              <w:t>2021〕12号）</w:t>
            </w:r>
            <w:r>
              <w:rPr>
                <w:rFonts w:hint="eastAsia" w:ascii="Times New Roman" w:hAnsi="Times New Roman" w:eastAsia="宋体" w:cs="Times New Roman"/>
                <w:color w:val="auto"/>
                <w:sz w:val="24"/>
                <w:szCs w:val="24"/>
              </w:rPr>
              <w:t>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1.1.5 项目与《繁峙县县城总体规划（2012-2030）》的符合性分析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《繁峙县县城总体规划（2012-2030）》中的城镇体系部分提出繁峙县产业发展战略与空间布局如下：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（1）产业发展战略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繁峙县未来产业转型的战略重点是：大力发展精密铸造、装备制造和现代农业，强化特色农业的产业化；培育主导产业，发展多元化工业；积极发展现代物流产业、旅游业等第三产业。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（2）空间布局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总体规划对县域空间格局部分阐述为：“一心一轴三区”的区域空间结构。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一心——繁城镇；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一轴——繁城镇</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砂河镇</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大营镇经济发展轴；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依托现有的京原铁路和108国道，做好矿产资源的加工运输业，同时，引进先进技术建设现代化的工业园区，加大资源的深加工、精加工技术，使这样一个高碳产业低碳化发展。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三区——西区、东区、南区。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规划将整个繁峙县县域划分为3个区，分别是冶金装备制造工业集中发展区、农业集中发展区、旅游服务业集中发展区。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Times New Roman" w:hAnsi="Times New Roman" w:eastAsia="宋体" w:cs="Times New Roman"/>
                <w:color w:val="auto"/>
                <w:sz w:val="24"/>
                <w:szCs w:val="24"/>
              </w:rPr>
            </w:pPr>
            <w:bookmarkStart w:id="2" w:name="_Hlk92309079"/>
            <w:r>
              <w:rPr>
                <w:rFonts w:ascii="Times New Roman" w:hAnsi="Times New Roman" w:eastAsia="宋体" w:cs="Times New Roman"/>
                <w:color w:val="auto"/>
                <w:sz w:val="24"/>
                <w:szCs w:val="24"/>
              </w:rPr>
              <w:t>本项目位于</w:t>
            </w:r>
            <w:r>
              <w:rPr>
                <w:rFonts w:hint="eastAsia" w:ascii="Times New Roman" w:hAnsi="Times New Roman" w:eastAsia="宋体" w:cs="Times New Roman"/>
                <w:color w:val="auto"/>
                <w:sz w:val="24"/>
                <w:szCs w:val="24"/>
                <w:lang w:val="en-US" w:eastAsia="zh-CN"/>
              </w:rPr>
              <w:t>忻州市繁峙县笔锋</w:t>
            </w:r>
            <w:r>
              <w:rPr>
                <w:rFonts w:hint="default" w:ascii="Times New Roman" w:hAnsi="Times New Roman" w:eastAsia="宋体" w:cs="Times New Roman"/>
                <w:color w:val="auto"/>
                <w:sz w:val="24"/>
                <w:szCs w:val="24"/>
                <w:lang w:val="en-US" w:eastAsia="zh-CN"/>
              </w:rPr>
              <w:t>村</w:t>
            </w:r>
            <w:r>
              <w:rPr>
                <w:rFonts w:hint="eastAsia" w:ascii="Times New Roman" w:hAnsi="Times New Roman" w:eastAsia="宋体" w:cs="Times New Roman"/>
                <w:color w:val="auto"/>
                <w:sz w:val="24"/>
                <w:szCs w:val="24"/>
                <w:lang w:val="en-US" w:eastAsia="zh-CN"/>
              </w:rPr>
              <w:t>西南侧1.34km处</w:t>
            </w:r>
            <w:r>
              <w:rPr>
                <w:rFonts w:ascii="Times New Roman" w:hAnsi="Times New Roman" w:eastAsia="宋体" w:cs="Times New Roman"/>
                <w:color w:val="auto"/>
                <w:sz w:val="24"/>
                <w:szCs w:val="24"/>
              </w:rPr>
              <w:t>，不在繁峙县县城总体规划</w:t>
            </w:r>
            <w:r>
              <w:rPr>
                <w:rFonts w:hint="eastAsia" w:ascii="Times New Roman" w:hAnsi="Times New Roman" w:eastAsia="宋体" w:cs="Times New Roman"/>
                <w:color w:val="auto"/>
                <w:sz w:val="24"/>
                <w:szCs w:val="24"/>
                <w:lang w:val="en-US" w:eastAsia="zh-CN"/>
              </w:rPr>
              <w:t>范围内，项目与</w:t>
            </w:r>
            <w:r>
              <w:rPr>
                <w:rFonts w:ascii="Times New Roman" w:hAnsi="Times New Roman" w:eastAsia="宋体" w:cs="Times New Roman"/>
                <w:color w:val="auto"/>
                <w:sz w:val="24"/>
                <w:szCs w:val="24"/>
              </w:rPr>
              <w:t>繁峙县县城总体规划</w:t>
            </w:r>
            <w:r>
              <w:rPr>
                <w:rFonts w:hint="eastAsia" w:ascii="Times New Roman" w:hAnsi="Times New Roman" w:eastAsia="宋体" w:cs="Times New Roman"/>
                <w:color w:val="auto"/>
                <w:sz w:val="24"/>
                <w:szCs w:val="24"/>
                <w:lang w:val="en-US" w:eastAsia="zh-CN"/>
              </w:rPr>
              <w:t>相对位置见附图10</w:t>
            </w:r>
            <w:r>
              <w:rPr>
                <w:rFonts w:ascii="Times New Roman" w:hAnsi="Times New Roman" w:eastAsia="宋体" w:cs="Times New Roman"/>
                <w:color w:val="auto"/>
                <w:sz w:val="24"/>
                <w:szCs w:val="24"/>
              </w:rPr>
              <w:t>。</w:t>
            </w:r>
            <w:bookmarkEnd w:id="2"/>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根据《繁峙县县城总体规划（2012-2030）》中</w:t>
            </w:r>
            <w:r>
              <w:rPr>
                <w:rFonts w:hint="eastAsia" w:ascii="Times New Roman" w:hAnsi="Times New Roman" w:eastAsia="宋体" w:cs="Times New Roman"/>
                <w:color w:val="auto"/>
                <w:sz w:val="24"/>
                <w:szCs w:val="24"/>
                <w:lang w:val="en-US" w:eastAsia="zh-CN"/>
              </w:rPr>
              <w:t>第六十九条  污水工程规划，繁峙县规划保留现状污水处理厂，在县城南部新规划一座污水处理厂，处理规模为1.0万m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/d。要求污水处理厂出水水质必须达到一级A排放标准。</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根据繁峙县城市规划布局，将中心城区划分为2个污水收集分区。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1 \* ROMAN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区：滹沱河以北为一个污水收集区，该区域污水经收集后进入现状污水处理厂，</w:t>
            </w: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1 \* ROMAN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区服务面积10.24km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，平均日污水量1.43万m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2 \* ROMAN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II</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区：滹沱河以南区域为一个污水收集区，该区域污水收集后进入规划污水处理厂。</w:t>
            </w: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2 \* ROMAN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II</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区服务面积6.95km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，平均日污水量0.97万m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县城西部现状污水处理厂下游地区污水无法靠重力流进入污水处理厂，规划通过污水泵站提升至现状污水处理厂。</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w:t>
            </w:r>
            <w:r>
              <w:rPr>
                <w:rFonts w:hint="default" w:ascii="Times New Roman" w:hAnsi="Times New Roman" w:eastAsia="宋体" w:cs="Times New Roman"/>
                <w:color w:val="auto"/>
                <w:sz w:val="24"/>
                <w:szCs w:val="24"/>
                <w:lang w:val="en-US" w:eastAsia="zh-CN"/>
              </w:rPr>
              <w:t>《繁峙县县城总体规划（2012-2030）》</w:t>
            </w:r>
            <w:r>
              <w:rPr>
                <w:rFonts w:hint="eastAsia" w:ascii="Times New Roman" w:hAnsi="Times New Roman" w:eastAsia="宋体" w:cs="Times New Roman"/>
                <w:color w:val="auto"/>
                <w:sz w:val="24"/>
                <w:szCs w:val="24"/>
                <w:lang w:val="en-US" w:eastAsia="zh-CN"/>
              </w:rPr>
              <w:t>中污水工程规划以及实际调研可知，繁峙县现状第一污水处理厂污水收集范围为滹沱河以北，处理能力为1.5万m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/d，但随着近些年的发展，滹沱河北部的污水产生量已经超过1.5万m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第一污水处理厂处于超负荷运行状态，污水处理工艺已不能满足排放要求，污水处理厂已没有多余空地用于扩建，且随着滹沱河南部的逐渐开发，污水问题也日益显现，因此建设一座规模更大的污水处理厂，来取代现状污水处理厂，同时通过铺设管网又可对滹沱河南部的污水收集处理，已经是一件迫在眉睫的事，本项目污水处理厂建设规模为3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/d，同时位于繁峙县城地势最低处，城区污水可以依靠重力流进入污水处理厂，因此项目的建设符合</w:t>
            </w:r>
            <w:r>
              <w:rPr>
                <w:rFonts w:hint="default" w:ascii="Times New Roman" w:hAnsi="Times New Roman" w:eastAsia="宋体" w:cs="Times New Roman"/>
                <w:color w:val="auto"/>
                <w:sz w:val="24"/>
                <w:szCs w:val="24"/>
                <w:lang w:val="en-US" w:eastAsia="zh-CN"/>
              </w:rPr>
              <w:t>《繁峙县县城总体规划（2012-2030）》</w:t>
            </w:r>
            <w:r>
              <w:rPr>
                <w:rFonts w:hint="eastAsia" w:ascii="Times New Roman" w:hAnsi="Times New Roman" w:eastAsia="宋体" w:cs="Times New Roman"/>
                <w:color w:val="auto"/>
                <w:sz w:val="24"/>
                <w:szCs w:val="24"/>
                <w:lang w:val="en-US" w:eastAsia="zh-CN"/>
              </w:rPr>
              <w:t>中对污水工程规划的要求。</w:t>
            </w:r>
          </w:p>
          <w:p>
            <w:pPr>
              <w:pStyle w:val="7"/>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b/>
                <w:bCs/>
                <w:color w:val="auto"/>
                <w:sz w:val="24"/>
              </w:rPr>
            </w:pPr>
            <w:r>
              <w:rPr>
                <w:b/>
                <w:bCs/>
                <w:color w:val="auto"/>
                <w:sz w:val="24"/>
              </w:rPr>
              <w:t>1.1.6 项目与繁峙县生态功能区划和繁峙县生态经济区划的符合性分析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（1）繁峙县生态功能区划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根据《繁峙县生态功能区划》，本项目位于Ⅰ繁峙县滹沱河上游沿岸湿地与生物多样性保护生态亚区。繁峙县生态功能分区图见附图6。</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该区包括繁城镇的南部、下茹越乡的南部、集义庄乡的中北部、砂河镇的南部、金山铺的北部靠近滹沱河两岸区域，总面积99.82km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，该区主要的系统服务功能是营养物质与水土保持。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该区的生态环境敏感性和生态服务功能重要性评价：土壤侵蚀敏感性除部分区域为中度敏感外，其余大部分区域为轻度敏感，生态环境综合敏感程度为轻中度敏感。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该区的主要生态环境问题：①滹沱河及其支流两侧植被覆盖度低，农业生产活动破坏植被，造成一定程度的水土流失，且地表径流冲刷表土对滹沱河和地表水环境产生不利影响；②城区集中供热集中供气和污水、垃圾集中处理等基础设施建设缓慢，对城区环境空气质量和滹沱河干流水质产生影响；③城市水源井分布于城区和周边地带，易受人为活动的干扰，供水绝对安全得不到保证；④农业耕作活动过程中过量的使用化肥、农药及农膜等残留及废弃物造成的面源污染，对滹沱河干流及其支流的水质产生影响；⑤生活废弃物的排放和畜禽散养及规模化养殖产生的粪便及其他废弃物，对农村生态环境的污染；⑥滹沱河沿岸人为活动破坏生态环境，势必对生物多样性的保护形成威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该区生态系统的保护措施：①对于水土流失相对较重的区域，实施小流域治理和植树造林等生态恢复工程，注重效果，对已完成的工程要加大管护力度；②建立科学的上下游用水制度，推广应用节水措施，合理调节河流上下游用水，保证生态用水；③在滹沱沿岸加强植草、植树护岸林带建设；④加快区域内排污管网和垃圾无害化处置场建设；⑤依据繁峙县水源地环境保护规划及保护区划分等级对水源地进行严格保护；⑥围绕农村建设内容，推动农业循环经济，科学实施种植养殖业，发展沼气、太阳能等清洁能源产业，以此解决流域内居民生产生活污染和农村面源问题，保证流域能持续的维系良好的自然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（2）繁峙县生态经济区划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根据《繁峙县生态经济区划报告》，本项目属于Ⅱ3滹沱河上游沿岸湿地生态农业和旅游经济区，繁峙县生态经济区划图见附图7。</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生态服务功能：该区主要生态服务功能为营养物质与水土保持。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态环境保护要求：①该区城由于过度开发、自然植被差，对林草地水土流失现象严重的区城，可实施小流域治理和植树造林等生态恢复工程；②对滹沱河沿岸实施高标准的绿化美化，加强植草、植树护岸林带建设；③加快区内排污管网和垃圾无害化处置场建设；④滹沱河沿岸自然植被差，木土流失现象严重，湿地的生态保护与恢复需要地方出台优惠政策鼓励社会力量的参与；⑤控制农药、化肥的使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发展方向：鼓励：①鼓励开发观光旅游及相关产业的经济；②以滹沱河沿岸生态湿地保护为前提适当的发展以蔬菜、水果、谷子、高粱等为主的生态农业；③发展以小杂粮和蔬菜种植与加工为主导的生态农业经济。限制：限制建设对水资源和周边生态环境有影响的生产设施和企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（3）本工程建设和生态功能区划及生态经济区划的符合性分析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本项目位于忻州市繁峙县笔锋</w:t>
            </w:r>
            <w:r>
              <w:rPr>
                <w:rFonts w:hint="default" w:ascii="Times New Roman" w:hAnsi="Times New Roman" w:eastAsia="宋体" w:cs="Times New Roman"/>
                <w:color w:val="auto"/>
                <w:sz w:val="24"/>
                <w:szCs w:val="24"/>
                <w:lang w:val="en-US" w:eastAsia="zh-CN"/>
              </w:rPr>
              <w:t>村</w:t>
            </w:r>
            <w:r>
              <w:rPr>
                <w:rFonts w:hint="eastAsia" w:ascii="Times New Roman" w:hAnsi="Times New Roman" w:eastAsia="宋体" w:cs="Times New Roman"/>
                <w:color w:val="auto"/>
                <w:sz w:val="24"/>
                <w:szCs w:val="24"/>
                <w:lang w:val="en-US" w:eastAsia="zh-CN"/>
              </w:rPr>
              <w:t>西南侧1.34km处。地处Ⅰ繁峙县滹沱河上游沿岸湿地与生物多样性保护生态亚区，Ⅱ3滹沱河上游沿岸湿地生态农业和旅游经济区</w:t>
            </w:r>
            <w:r>
              <w:rPr>
                <w:rFonts w:ascii="Times New Roman" w:hAnsi="Times New Roman" w:eastAsia="宋体" w:cs="Times New Roman"/>
                <w:color w:val="auto"/>
                <w:sz w:val="24"/>
                <w:szCs w:val="24"/>
              </w:rPr>
              <w:t>。该项目的建设有利于滹沱河水质的提升，可以对环境产生正效应，故本项目的建设不违背《繁峙县生态功能分区》和《繁峙县生态经济区划》中关于环境保护的要求。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baseline"/>
              <w:rPr>
                <w:b/>
                <w:color w:val="auto"/>
                <w:kern w:val="0"/>
                <w:sz w:val="24"/>
              </w:rPr>
            </w:pPr>
            <w:r>
              <w:rPr>
                <w:b/>
                <w:bCs/>
                <w:color w:val="auto"/>
                <w:sz w:val="24"/>
              </w:rPr>
              <w:t>1.1.</w:t>
            </w:r>
            <w:r>
              <w:rPr>
                <w:rFonts w:hint="eastAsia"/>
                <w:b/>
                <w:bCs/>
                <w:color w:val="auto"/>
                <w:sz w:val="24"/>
                <w:lang w:val="en-US" w:eastAsia="zh-CN"/>
              </w:rPr>
              <w:t>7</w:t>
            </w:r>
            <w:r>
              <w:rPr>
                <w:b/>
                <w:bCs/>
                <w:color w:val="auto"/>
                <w:sz w:val="24"/>
              </w:rPr>
              <w:t xml:space="preserve"> </w:t>
            </w:r>
            <w:r>
              <w:rPr>
                <w:rFonts w:hint="eastAsia"/>
                <w:b/>
                <w:color w:val="auto"/>
                <w:kern w:val="0"/>
                <w:sz w:val="24"/>
                <w:lang w:eastAsia="zh-CN"/>
              </w:rPr>
              <w:t>与《忻州市滹沱河流域生态修复与保护条例》及《山西省人民政府关于坚决打赢汾河流域治理攻坚战的决定》</w:t>
            </w:r>
            <w:r>
              <w:rPr>
                <w:rFonts w:hint="eastAsia"/>
                <w:b/>
                <w:color w:val="auto"/>
                <w:kern w:val="0"/>
                <w:sz w:val="24"/>
              </w:rPr>
              <w:t>符合性分析</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baseline"/>
              <w:rPr>
                <w:rFonts w:hint="default" w:eastAsia="宋体"/>
                <w:color w:val="auto"/>
                <w:sz w:val="24"/>
                <w:lang w:val="en-US" w:eastAsia="zh-CN"/>
              </w:rPr>
            </w:pPr>
            <w:r>
              <w:rPr>
                <w:rFonts w:hint="eastAsia"/>
                <w:b/>
                <w:bCs/>
                <w:color w:val="auto"/>
                <w:sz w:val="24"/>
                <w:lang w:eastAsia="zh-CN"/>
              </w:rPr>
              <w:t>表</w:t>
            </w:r>
            <w:r>
              <w:rPr>
                <w:rFonts w:hint="eastAsia"/>
                <w:b/>
                <w:bCs/>
                <w:color w:val="auto"/>
                <w:sz w:val="24"/>
                <w:lang w:val="en-US" w:eastAsia="zh-CN"/>
              </w:rPr>
              <w:t>1-1  项目</w:t>
            </w:r>
            <w:r>
              <w:rPr>
                <w:rFonts w:hint="eastAsia"/>
                <w:b/>
                <w:color w:val="auto"/>
                <w:kern w:val="0"/>
                <w:sz w:val="24"/>
              </w:rPr>
              <w:t>符合性分析</w:t>
            </w:r>
          </w:p>
          <w:tbl>
            <w:tblPr>
              <w:tblStyle w:val="24"/>
              <w:tblW w:w="816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6" w:type="dxa"/>
                <w:left w:w="108" w:type="dxa"/>
                <w:bottom w:w="0" w:type="dxa"/>
                <w:right w:w="108" w:type="dxa"/>
              </w:tblCellMar>
            </w:tblPr>
            <w:tblGrid>
              <w:gridCol w:w="4591"/>
              <w:gridCol w:w="2692"/>
              <w:gridCol w:w="8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108" w:type="dxa"/>
                </w:tblCellMar>
              </w:tblPrEx>
              <w:trPr>
                <w:trHeight w:val="340" w:hRule="atLeast"/>
                <w:jc w:val="center"/>
              </w:trPr>
              <w:tc>
                <w:tcPr>
                  <w:tcW w:w="459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《忻州市滹沱河流域生态修复与保护条例》</w:t>
                  </w:r>
                </w:p>
              </w:tc>
              <w:tc>
                <w:tcPr>
                  <w:tcW w:w="2692"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项目</w:t>
                  </w:r>
                </w:p>
              </w:tc>
              <w:tc>
                <w:tcPr>
                  <w:tcW w:w="878"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108" w:type="dxa"/>
                </w:tblCellMar>
              </w:tblPrEx>
              <w:trPr>
                <w:trHeight w:val="340" w:hRule="atLeast"/>
                <w:jc w:val="center"/>
              </w:trPr>
              <w:tc>
                <w:tcPr>
                  <w:tcW w:w="459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禁止在流域内建设妨碍生态修复与保护的建筑物、构筑物以及从事其他妨碍流域生态修复与保护的活动</w:t>
                  </w:r>
                </w:p>
              </w:tc>
              <w:tc>
                <w:tcPr>
                  <w:tcW w:w="2692"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本项目距离滹沱河102m，</w:t>
                  </w:r>
                  <w:r>
                    <w:rPr>
                      <w:rFonts w:hint="eastAsia" w:ascii="Times New Roman" w:hAnsi="Times New Roman" w:eastAsia="宋体" w:cs="Times New Roman"/>
                      <w:color w:val="auto"/>
                      <w:sz w:val="21"/>
                      <w:szCs w:val="21"/>
                    </w:rPr>
                    <w:t>没有</w:t>
                  </w:r>
                  <w:r>
                    <w:rPr>
                      <w:rFonts w:hint="default" w:ascii="Times New Roman" w:hAnsi="Times New Roman" w:eastAsia="宋体" w:cs="Times New Roman"/>
                      <w:color w:val="auto"/>
                      <w:sz w:val="21"/>
                      <w:szCs w:val="21"/>
                    </w:rPr>
                    <w:t>建设妨碍生态修复与保护的建筑物、构筑物以及从事其他妨碍流域生态修复与保护的活动</w:t>
                  </w:r>
                </w:p>
              </w:tc>
              <w:tc>
                <w:tcPr>
                  <w:tcW w:w="878"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108" w:type="dxa"/>
                </w:tblCellMar>
              </w:tblPrEx>
              <w:trPr>
                <w:trHeight w:val="340" w:hRule="atLeast"/>
                <w:jc w:val="center"/>
              </w:trPr>
              <w:tc>
                <w:tcPr>
                  <w:tcW w:w="459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任何单位和个人不得擅自变更水源涵养林地和天然草甸用途。不得违法占用、征用、征收流域内的公益林地和天然草甸</w:t>
                  </w:r>
                </w:p>
              </w:tc>
              <w:tc>
                <w:tcPr>
                  <w:tcW w:w="2692"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z w:val="21"/>
                      <w:szCs w:val="21"/>
                      <w:lang w:val="en-US" w:eastAsia="zh-CN"/>
                    </w:rPr>
                    <w:t>本项目未占用</w:t>
                  </w:r>
                  <w:r>
                    <w:rPr>
                      <w:rFonts w:hint="default" w:ascii="Times New Roman" w:hAnsi="Times New Roman" w:eastAsia="宋体" w:cs="Times New Roman"/>
                      <w:color w:val="auto"/>
                      <w:sz w:val="21"/>
                      <w:szCs w:val="21"/>
                    </w:rPr>
                    <w:t>水源涵养林地和天然草甸</w:t>
                  </w:r>
                  <w:r>
                    <w:rPr>
                      <w:rFonts w:hint="eastAsia" w:ascii="Times New Roman" w:hAnsi="Times New Roman" w:eastAsia="宋体" w:cs="Times New Roman"/>
                      <w:color w:val="auto"/>
                      <w:sz w:val="21"/>
                      <w:szCs w:val="21"/>
                      <w:lang w:eastAsia="zh-CN"/>
                    </w:rPr>
                    <w:t>等</w:t>
                  </w:r>
                </w:p>
              </w:tc>
              <w:tc>
                <w:tcPr>
                  <w:tcW w:w="878"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108" w:type="dxa"/>
                </w:tblCellMar>
              </w:tblPrEx>
              <w:trPr>
                <w:trHeight w:val="340" w:hRule="atLeast"/>
                <w:jc w:val="center"/>
              </w:trPr>
              <w:tc>
                <w:tcPr>
                  <w:tcW w:w="459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流域内的建设项目选址应当避让生态保护区、河流源头和岩溶泉域重点保护区，无法避让的，应当采取保护措施，提高防治标准，防止造成生态破坏</w:t>
                  </w:r>
                </w:p>
              </w:tc>
              <w:tc>
                <w:tcPr>
                  <w:tcW w:w="2692"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z w:val="21"/>
                      <w:szCs w:val="21"/>
                      <w:lang w:val="en-US" w:eastAsia="zh-CN"/>
                    </w:rPr>
                    <w:t>本项目距离滹沱河102m，不在</w:t>
                  </w:r>
                  <w:r>
                    <w:rPr>
                      <w:rFonts w:hint="default" w:ascii="Times New Roman" w:hAnsi="Times New Roman" w:eastAsia="宋体" w:cs="Times New Roman"/>
                      <w:color w:val="auto"/>
                      <w:sz w:val="21"/>
                      <w:szCs w:val="21"/>
                    </w:rPr>
                    <w:t>生态保护区、河流源头和岩溶泉域重点保护区</w:t>
                  </w:r>
                  <w:r>
                    <w:rPr>
                      <w:rFonts w:hint="eastAsia" w:ascii="Times New Roman" w:hAnsi="Times New Roman" w:eastAsia="宋体" w:cs="Times New Roman"/>
                      <w:color w:val="auto"/>
                      <w:sz w:val="21"/>
                      <w:szCs w:val="21"/>
                      <w:lang w:eastAsia="zh-CN"/>
                    </w:rPr>
                    <w:t>范围内</w:t>
                  </w:r>
                </w:p>
              </w:tc>
              <w:tc>
                <w:tcPr>
                  <w:tcW w:w="878"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108" w:type="dxa"/>
                </w:tblCellMar>
              </w:tblPrEx>
              <w:trPr>
                <w:trHeight w:val="340" w:hRule="atLeast"/>
                <w:jc w:val="center"/>
              </w:trPr>
              <w:tc>
                <w:tcPr>
                  <w:tcW w:w="459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严格限制地下水开采，未经有关部门批准，任何单位和个人不得凿井取水</w:t>
                  </w:r>
                </w:p>
              </w:tc>
              <w:tc>
                <w:tcPr>
                  <w:tcW w:w="2692"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z w:val="21"/>
                      <w:szCs w:val="21"/>
                      <w:lang w:eastAsia="zh-CN" w:bidi="ar"/>
                    </w:rPr>
                    <w:t>本项目</w:t>
                  </w:r>
                  <w:r>
                    <w:rPr>
                      <w:rFonts w:hint="eastAsia" w:ascii="Times New Roman" w:hAnsi="Times New Roman" w:eastAsia="宋体" w:cs="Times New Roman"/>
                      <w:color w:val="auto"/>
                      <w:sz w:val="21"/>
                      <w:szCs w:val="21"/>
                      <w:lang w:val="en-US" w:eastAsia="zh-CN" w:bidi="ar"/>
                    </w:rPr>
                    <w:t>用水引入县城自来水管网</w:t>
                  </w:r>
                  <w:r>
                    <w:rPr>
                      <w:rFonts w:hint="default" w:ascii="Times New Roman" w:hAnsi="Times New Roman" w:eastAsia="宋体" w:cs="Times New Roman"/>
                      <w:b w:val="0"/>
                      <w:bCs/>
                      <w:color w:val="auto"/>
                      <w:sz w:val="21"/>
                      <w:szCs w:val="21"/>
                      <w:lang w:val="en-US" w:eastAsia="zh-CN"/>
                    </w:rPr>
                    <w:t>供给</w:t>
                  </w:r>
                </w:p>
              </w:tc>
              <w:tc>
                <w:tcPr>
                  <w:tcW w:w="878"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108" w:type="dxa"/>
                </w:tblCellMar>
              </w:tblPrEx>
              <w:trPr>
                <w:trHeight w:val="340" w:hRule="atLeast"/>
                <w:jc w:val="center"/>
              </w:trPr>
              <w:tc>
                <w:tcPr>
                  <w:tcW w:w="459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禁止在河源、河道保护范围内堆放、倾倒砂、石、土、矸石、尾矿、废渣等废弃物</w:t>
                  </w:r>
                </w:p>
              </w:tc>
              <w:tc>
                <w:tcPr>
                  <w:tcW w:w="2692"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z w:val="21"/>
                      <w:szCs w:val="21"/>
                      <w:lang w:eastAsia="zh-CN"/>
                    </w:rPr>
                    <w:t>本项目</w:t>
                  </w:r>
                  <w:r>
                    <w:rPr>
                      <w:rFonts w:hint="eastAsia" w:ascii="Times New Roman" w:hAnsi="Times New Roman" w:eastAsia="宋体" w:cs="Times New Roman"/>
                      <w:color w:val="auto"/>
                      <w:sz w:val="21"/>
                      <w:szCs w:val="21"/>
                      <w:lang w:val="en-US" w:eastAsia="zh-CN"/>
                    </w:rPr>
                    <w:t>在建设过程中规范管理，严格落实，不会在</w:t>
                  </w:r>
                  <w:r>
                    <w:rPr>
                      <w:rFonts w:hint="default" w:ascii="Times New Roman" w:hAnsi="Times New Roman" w:eastAsia="宋体" w:cs="Times New Roman"/>
                      <w:color w:val="auto"/>
                      <w:sz w:val="21"/>
                      <w:szCs w:val="21"/>
                    </w:rPr>
                    <w:t>河源、河道保护范围内堆放、倾倒砂、石、土、矸石、尾矿、废渣等废弃物</w:t>
                  </w:r>
                </w:p>
              </w:tc>
              <w:tc>
                <w:tcPr>
                  <w:tcW w:w="878"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108" w:type="dxa"/>
                </w:tblCellMar>
              </w:tblPrEx>
              <w:trPr>
                <w:trHeight w:val="340" w:hRule="atLeast"/>
                <w:jc w:val="center"/>
              </w:trPr>
              <w:tc>
                <w:tcPr>
                  <w:tcW w:w="459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在流域规划保护区的生产建设项目，生产建设单位应当依法编制水土保持方案，并按照批准的水土保持方案，采取水土流失预防和治理措施</w:t>
                  </w:r>
                </w:p>
              </w:tc>
              <w:tc>
                <w:tcPr>
                  <w:tcW w:w="2692"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z w:val="21"/>
                      <w:szCs w:val="21"/>
                      <w:lang w:val="en-US" w:eastAsia="zh-CN"/>
                    </w:rPr>
                    <w:t>本项目距离滹沱河102m，不在</w:t>
                  </w:r>
                  <w:r>
                    <w:rPr>
                      <w:rFonts w:hint="default" w:ascii="Times New Roman" w:hAnsi="Times New Roman" w:eastAsia="宋体" w:cs="Times New Roman"/>
                      <w:color w:val="auto"/>
                      <w:sz w:val="21"/>
                      <w:szCs w:val="21"/>
                    </w:rPr>
                    <w:t>流域规划保护区</w:t>
                  </w:r>
                  <w:r>
                    <w:rPr>
                      <w:rFonts w:hint="eastAsia" w:ascii="Times New Roman" w:hAnsi="Times New Roman" w:eastAsia="宋体" w:cs="Times New Roman"/>
                      <w:color w:val="auto"/>
                      <w:sz w:val="21"/>
                      <w:szCs w:val="21"/>
                      <w:lang w:eastAsia="zh-CN"/>
                    </w:rPr>
                    <w:t>范围内</w:t>
                  </w:r>
                </w:p>
              </w:tc>
              <w:tc>
                <w:tcPr>
                  <w:tcW w:w="878"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108" w:type="dxa"/>
                </w:tblCellMar>
              </w:tblPrEx>
              <w:trPr>
                <w:trHeight w:val="340" w:hRule="atLeast"/>
                <w:jc w:val="center"/>
              </w:trPr>
              <w:tc>
                <w:tcPr>
                  <w:tcW w:w="459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排污单位排放污染物不得超过国家和省的污染物排放标准，不得超过排放总量控制指标</w:t>
                  </w:r>
                </w:p>
              </w:tc>
              <w:tc>
                <w:tcPr>
                  <w:tcW w:w="2692"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z w:val="21"/>
                      <w:szCs w:val="21"/>
                      <w:lang w:eastAsia="zh-CN" w:bidi="ar"/>
                    </w:rPr>
                    <w:t>本项目不需申请总量控制指标</w:t>
                  </w:r>
                </w:p>
              </w:tc>
              <w:tc>
                <w:tcPr>
                  <w:tcW w:w="878"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108" w:type="dxa"/>
                </w:tblCellMar>
              </w:tblPrEx>
              <w:trPr>
                <w:trHeight w:val="340" w:hRule="atLeast"/>
                <w:jc w:val="center"/>
              </w:trPr>
              <w:tc>
                <w:tcPr>
                  <w:tcW w:w="459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i w:val="0"/>
                      <w:caps w:val="0"/>
                      <w:color w:val="auto"/>
                      <w:spacing w:val="0"/>
                      <w:sz w:val="24"/>
                      <w:szCs w:val="24"/>
                      <w:shd w:val="clear" w:color="auto" w:fill="FFFFFF"/>
                    </w:rPr>
                  </w:pPr>
                  <w:r>
                    <w:rPr>
                      <w:rFonts w:hint="eastAsia" w:ascii="宋体" w:hAnsi="宋体" w:eastAsia="宋体" w:cs="宋体"/>
                      <w:i w:val="0"/>
                      <w:caps w:val="0"/>
                      <w:color w:val="auto"/>
                      <w:spacing w:val="0"/>
                      <w:sz w:val="21"/>
                      <w:szCs w:val="21"/>
                      <w:shd w:val="clear" w:color="auto" w:fill="FFFFFF"/>
                    </w:rPr>
                    <w:t>任何单位和个人不得在滹沱河流域饮用水水源保护区建设与水环境保护无关的项目，不得从事影响饮用水水源水质的活动</w:t>
                  </w:r>
                </w:p>
              </w:tc>
              <w:tc>
                <w:tcPr>
                  <w:tcW w:w="2692"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val="en-US" w:eastAsia="zh-CN"/>
                    </w:rPr>
                    <w:t>本项目距离滹沱河102m，不在</w:t>
                  </w:r>
                  <w:r>
                    <w:rPr>
                      <w:rFonts w:hint="eastAsia" w:ascii="宋体" w:hAnsi="宋体" w:eastAsia="宋体" w:cs="宋体"/>
                      <w:i w:val="0"/>
                      <w:caps w:val="0"/>
                      <w:color w:val="auto"/>
                      <w:spacing w:val="0"/>
                      <w:sz w:val="21"/>
                      <w:szCs w:val="21"/>
                      <w:shd w:val="clear" w:color="auto" w:fill="FFFFFF"/>
                    </w:rPr>
                    <w:t>滹沱河流域饮用水水源保护区</w:t>
                  </w:r>
                </w:p>
              </w:tc>
              <w:tc>
                <w:tcPr>
                  <w:tcW w:w="878"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59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i w:val="0"/>
                      <w:caps w:val="0"/>
                      <w:color w:val="auto"/>
                      <w:spacing w:val="0"/>
                      <w:sz w:val="21"/>
                      <w:szCs w:val="21"/>
                      <w:shd w:val="clear" w:color="auto" w:fill="FFFFFF"/>
                      <w:lang w:eastAsia="zh-CN"/>
                    </w:rPr>
                  </w:pPr>
                  <w:r>
                    <w:rPr>
                      <w:rFonts w:hint="eastAsia"/>
                      <w:b/>
                      <w:bCs/>
                      <w:color w:val="auto"/>
                      <w:lang w:eastAsia="zh-CN"/>
                    </w:rPr>
                    <w:t>《</w:t>
                  </w:r>
                  <w:r>
                    <w:rPr>
                      <w:rFonts w:hint="eastAsia"/>
                      <w:b/>
                      <w:bCs/>
                      <w:color w:val="auto"/>
                    </w:rPr>
                    <w:t>山西省人民政府关于坚决打赢汾河流域治理攻坚战的决定</w:t>
                  </w:r>
                  <w:r>
                    <w:rPr>
                      <w:rFonts w:hint="eastAsia"/>
                      <w:b/>
                      <w:bCs/>
                      <w:color w:val="auto"/>
                      <w:lang w:eastAsia="zh-CN"/>
                    </w:rPr>
                    <w:t>》</w:t>
                  </w:r>
                </w:p>
              </w:tc>
              <w:tc>
                <w:tcPr>
                  <w:tcW w:w="2692"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bidi="ar"/>
                    </w:rPr>
                    <w:t>项目</w:t>
                  </w:r>
                </w:p>
              </w:tc>
              <w:tc>
                <w:tcPr>
                  <w:tcW w:w="878"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b/>
                      <w:bCs/>
                      <w:color w:val="auto"/>
                      <w:sz w:val="21"/>
                      <w:szCs w:val="21"/>
                      <w:lang w:bidi="ar"/>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08" w:type="dxa"/>
                  <w:bottom w:w="0" w:type="dxa"/>
                  <w:right w:w="108" w:type="dxa"/>
                </w:tblCellMar>
              </w:tblPrEx>
              <w:trPr>
                <w:trHeight w:val="340" w:hRule="atLeast"/>
                <w:jc w:val="center"/>
              </w:trPr>
              <w:tc>
                <w:tcPr>
                  <w:tcW w:w="4591"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b/>
                      <w:bCs/>
                      <w:color w:val="auto"/>
                      <w:lang w:eastAsia="zh-CN"/>
                    </w:rPr>
                  </w:pPr>
                  <w:r>
                    <w:rPr>
                      <w:rFonts w:hint="eastAsia" w:ascii="宋体" w:hAnsi="宋体" w:eastAsia="宋体" w:cs="宋体"/>
                      <w:b w:val="0"/>
                      <w:bCs w:val="0"/>
                      <w:color w:val="auto"/>
                      <w:lang w:eastAsia="zh-CN"/>
                    </w:rPr>
                    <w:t>在汾河干流河道水岸线以外原则上不小于一百米、支流原则上不小于五十米，划定生态功能保护线，建设缓冲隔离防护林带和水源涵养林带，改变农防段种植结构，提高汾河流域河流自净能力（我省境内桑干河、滹沱河、漳河、沁河、涑水河、大清河上游段（唐河、沙河）等流域的治理工作，参照此决定执行）</w:t>
                  </w:r>
                </w:p>
              </w:tc>
              <w:tc>
                <w:tcPr>
                  <w:tcW w:w="2692"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bidi="ar"/>
                    </w:rPr>
                  </w:pPr>
                  <w:r>
                    <w:rPr>
                      <w:rFonts w:hint="eastAsia" w:ascii="Times New Roman" w:hAnsi="Times New Roman" w:eastAsia="宋体" w:cs="Times New Roman"/>
                      <w:color w:val="auto"/>
                      <w:sz w:val="21"/>
                      <w:szCs w:val="21"/>
                      <w:lang w:val="en-US" w:eastAsia="zh-CN"/>
                    </w:rPr>
                    <w:t>本项目距离滹沱河干流102m，不在划定生态功能保护线范围内</w:t>
                  </w:r>
                </w:p>
              </w:tc>
              <w:tc>
                <w:tcPr>
                  <w:tcW w:w="878" w:type="dxa"/>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color w:val="auto"/>
                      <w:sz w:val="21"/>
                      <w:szCs w:val="21"/>
                      <w:lang w:bidi="ar"/>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1.1.8项目选址与《城市排水工程规划规范》（GB50318-2017）规定的卫生防护距离的符合性分析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根据《城市排水工程规划规范》（GB50318-2017），新建规模≤5万m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 xml:space="preserve">/d污水处理厂，卫生防护距离为150m，在卫生防护距离内，宜种植高大乔木，不得安排住宅、学校、医院等敏感性用途的建设用地。项目厂界周边150m范围内没有安排住宅、学校、医院等敏感性用途的建设用地，同时要求在项目建设完成后，加强周边绿化，因此项目的建设符合《城市排水工程规划规范》（GB50318-2017）的要求。 </w:t>
            </w:r>
          </w:p>
        </w:tc>
      </w:tr>
    </w:tbl>
    <w:p>
      <w:pPr>
        <w:adjustRightInd w:val="0"/>
        <w:snapToGrid w:val="0"/>
        <w:spacing w:line="288" w:lineRule="auto"/>
        <w:ind w:firstLine="1040"/>
        <w:rPr>
          <w:rFonts w:ascii="Times New Roman" w:hAnsi="Times New Roman" w:eastAsia="仿宋_GB2312" w:cs="Times New Roman"/>
          <w:color w:val="auto"/>
          <w:sz w:val="36"/>
          <w:szCs w:val="36"/>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spacing w:line="240" w:lineRule="auto"/>
        <w:jc w:val="center"/>
        <w:rPr>
          <w:color w:val="auto"/>
          <w:sz w:val="32"/>
          <w:szCs w:val="32"/>
        </w:rPr>
      </w:pPr>
      <w:r>
        <w:rPr>
          <w:color w:val="auto"/>
          <w:sz w:val="32"/>
          <w:szCs w:val="32"/>
        </w:rPr>
        <w:t>二、建设项目工程分析</w:t>
      </w:r>
    </w:p>
    <w:tbl>
      <w:tblPr>
        <w:tblStyle w:val="24"/>
        <w:tblW w:w="87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3"/>
        <w:gridCol w:w="83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3" w:hRule="atLeast"/>
          <w:jc w:val="center"/>
        </w:trPr>
        <w:tc>
          <w:tcPr>
            <w:tcW w:w="473" w:type="dxa"/>
            <w:tcBorders>
              <w:tl2br w:val="nil"/>
              <w:tr2bl w:val="nil"/>
            </w:tcBorders>
            <w:vAlign w:val="center"/>
          </w:tcPr>
          <w:p>
            <w:pPr>
              <w:pStyle w:val="16"/>
              <w:adjustRightInd w:val="0"/>
              <w:snapToGrid w:val="0"/>
              <w:spacing w:before="0" w:beforeAutospacing="0" w:after="0" w:afterAutospacing="0"/>
              <w:jc w:val="center"/>
              <w:rPr>
                <w:rFonts w:ascii="Times New Roman" w:hAnsi="Times New Roman" w:eastAsia="宋体" w:cs="Times New Roman"/>
                <w:color w:val="auto"/>
                <w:szCs w:val="24"/>
              </w:rPr>
            </w:pPr>
            <w:r>
              <w:rPr>
                <w:rFonts w:ascii="Times New Roman" w:hAnsi="Times New Roman" w:eastAsia="宋体" w:cs="Times New Roman"/>
                <w:b/>
                <w:bCs/>
                <w:color w:val="auto"/>
                <w:szCs w:val="24"/>
              </w:rPr>
              <w:t>建设内容</w:t>
            </w:r>
          </w:p>
        </w:tc>
        <w:tc>
          <w:tcPr>
            <w:tcW w:w="8306"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2.1本次工程基本情况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项目名称：</w:t>
            </w:r>
            <w:r>
              <w:rPr>
                <w:rFonts w:hint="eastAsia" w:ascii="Times New Roman" w:hAnsi="Times New Roman" w:eastAsia="宋体" w:cs="Times New Roman"/>
                <w:color w:val="auto"/>
                <w:sz w:val="24"/>
                <w:szCs w:val="24"/>
                <w:lang w:val="en-US" w:eastAsia="zh-CN"/>
              </w:rPr>
              <w:t>繁峙县第二污水处理厂及管网配套工程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建设单位：繁峙县住房和城乡建设管理局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建设性质：</w:t>
            </w:r>
            <w:r>
              <w:rPr>
                <w:rFonts w:hint="eastAsia" w:ascii="Times New Roman" w:hAnsi="Times New Roman" w:eastAsia="宋体" w:cs="Times New Roman"/>
                <w:color w:val="auto"/>
                <w:sz w:val="24"/>
                <w:szCs w:val="24"/>
                <w:lang w:val="en-US" w:eastAsia="zh-CN"/>
              </w:rPr>
              <w:t>新</w:t>
            </w:r>
            <w:r>
              <w:rPr>
                <w:rFonts w:ascii="Times New Roman" w:hAnsi="Times New Roman" w:eastAsia="宋体" w:cs="Times New Roman"/>
                <w:color w:val="auto"/>
                <w:sz w:val="24"/>
                <w:szCs w:val="24"/>
              </w:rPr>
              <w:t>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建设规模：处理能力</w:t>
            </w:r>
            <w:r>
              <w:rPr>
                <w:rFonts w:hint="eastAsia" w:ascii="Times New Roman" w:hAnsi="Times New Roman" w:eastAsia="宋体" w:cs="Times New Roman"/>
                <w:color w:val="auto"/>
                <w:sz w:val="24"/>
                <w:szCs w:val="24"/>
                <w:lang w:val="en-US" w:eastAsia="zh-CN"/>
              </w:rPr>
              <w:t>为3</w:t>
            </w:r>
            <w:r>
              <w:rPr>
                <w:rFonts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0万m³/d</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项目可行性研究报告于2019年编制完成，可研中本项目分两期进行建设，由于县城现状污水处理厂已超负荷运行，且处理工艺落后，设备陈旧无法满足正常需求，因此本项目不再分期建设，本次评价以3</w:t>
            </w:r>
            <w:r>
              <w:rPr>
                <w:rFonts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0 万m³/d</w:t>
            </w:r>
            <w:r>
              <w:rPr>
                <w:rFonts w:hint="eastAsia" w:ascii="Times New Roman" w:hAnsi="Times New Roman" w:eastAsia="宋体" w:cs="Times New Roman"/>
                <w:color w:val="auto"/>
                <w:sz w:val="24"/>
                <w:szCs w:val="24"/>
                <w:lang w:val="en-US" w:eastAsia="zh-CN"/>
              </w:rPr>
              <w:t>的规模进行评价</w:t>
            </w:r>
            <w:r>
              <w:rPr>
                <w:rFonts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总投资：总投资</w:t>
            </w:r>
            <w:r>
              <w:rPr>
                <w:rFonts w:ascii="Times New Roman" w:hAnsi="Times New Roman" w:eastAsia="宋体" w:cs="Times New Roman"/>
                <w:color w:val="auto"/>
                <w:sz w:val="24"/>
                <w:szCs w:val="24"/>
                <w:lang w:val="en-US" w:eastAsia="zh-CN"/>
              </w:rPr>
              <w:t>16141.75</w:t>
            </w:r>
            <w:r>
              <w:rPr>
                <w:rFonts w:ascii="Times New Roman" w:hAnsi="Times New Roman" w:eastAsia="宋体" w:cs="Times New Roman"/>
                <w:color w:val="auto"/>
                <w:sz w:val="24"/>
                <w:szCs w:val="24"/>
              </w:rPr>
              <w:t>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建设地点：位于山西省</w:t>
            </w:r>
            <w:r>
              <w:rPr>
                <w:rFonts w:hint="eastAsia" w:ascii="Times New Roman" w:hAnsi="Times New Roman" w:eastAsia="宋体" w:cs="Times New Roman"/>
                <w:color w:val="auto"/>
                <w:sz w:val="24"/>
                <w:szCs w:val="24"/>
                <w:lang w:val="en-US" w:eastAsia="zh-CN"/>
              </w:rPr>
              <w:t>忻州市繁峙县笔锋</w:t>
            </w:r>
            <w:r>
              <w:rPr>
                <w:rFonts w:hint="default" w:ascii="Times New Roman" w:hAnsi="Times New Roman" w:eastAsia="宋体" w:cs="Times New Roman"/>
                <w:color w:val="auto"/>
                <w:sz w:val="24"/>
                <w:szCs w:val="24"/>
                <w:lang w:val="en-US" w:eastAsia="zh-CN"/>
              </w:rPr>
              <w:t>村</w:t>
            </w:r>
            <w:r>
              <w:rPr>
                <w:rFonts w:hint="eastAsia" w:ascii="Times New Roman" w:hAnsi="Times New Roman" w:eastAsia="宋体" w:cs="Times New Roman"/>
                <w:color w:val="auto"/>
                <w:sz w:val="24"/>
                <w:szCs w:val="24"/>
                <w:lang w:val="en-US" w:eastAsia="zh-CN"/>
              </w:rPr>
              <w:t>西南侧1.34km处</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其地理坐标为</w:t>
            </w:r>
            <w:r>
              <w:rPr>
                <w:rFonts w:hint="default" w:ascii="Times New Roman" w:hAnsi="Times New Roman" w:eastAsia="宋体" w:cs="Times New Roman"/>
                <w:color w:val="auto"/>
                <w:sz w:val="24"/>
                <w:szCs w:val="24"/>
                <w:lang w:eastAsia="zh-CN"/>
              </w:rPr>
              <w:t>东经113°13′</w:t>
            </w:r>
            <w:r>
              <w:rPr>
                <w:rFonts w:hint="eastAsia" w:ascii="Times New Roman" w:hAnsi="Times New Roman" w:eastAsia="宋体" w:cs="Times New Roman"/>
                <w:color w:val="auto"/>
                <w:sz w:val="24"/>
                <w:szCs w:val="24"/>
                <w:lang w:val="en-US" w:eastAsia="zh-CN"/>
              </w:rPr>
              <w:t>42.071</w:t>
            </w:r>
            <w:r>
              <w:rPr>
                <w:rFonts w:hint="default" w:ascii="Times New Roman" w:hAnsi="Times New Roman" w:eastAsia="宋体" w:cs="Times New Roman"/>
                <w:color w:val="auto"/>
                <w:sz w:val="24"/>
                <w:szCs w:val="24"/>
                <w:lang w:eastAsia="zh-CN"/>
              </w:rPr>
              <w:t>″，北纬39°10′</w:t>
            </w:r>
            <w:r>
              <w:rPr>
                <w:rFonts w:hint="eastAsia" w:ascii="Times New Roman" w:hAnsi="Times New Roman" w:eastAsia="宋体" w:cs="Times New Roman"/>
                <w:color w:val="auto"/>
                <w:sz w:val="24"/>
                <w:szCs w:val="24"/>
                <w:lang w:val="en-US" w:eastAsia="zh-CN"/>
              </w:rPr>
              <w:t>21.631</w:t>
            </w:r>
            <w:r>
              <w:rPr>
                <w:rFonts w:hint="default"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，厂区四邻关系：厂区北侧紧邻滹沱河，厂区西侧</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东侧和南侧均为耕地</w:t>
            </w:r>
            <w:r>
              <w:rPr>
                <w:rFonts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地理位置详见附图1，项目四邻关系图见附图2。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建设内容：新建</w:t>
            </w:r>
            <w:r>
              <w:rPr>
                <w:rFonts w:hint="eastAsia" w:ascii="Times New Roman" w:hAnsi="Times New Roman" w:eastAsia="宋体" w:cs="Times New Roman"/>
                <w:color w:val="auto"/>
                <w:sz w:val="24"/>
                <w:szCs w:val="24"/>
                <w:lang w:val="en-US" w:eastAsia="zh-CN"/>
              </w:rPr>
              <w:t>粗格栅及进水泵房、细格栅及曝气沉砂池、生物区厌氧区及缺氧区、污泥泵房及污泥浓缩池</w:t>
            </w:r>
            <w:r>
              <w:rPr>
                <w:rFonts w:ascii="Times New Roman" w:hAnsi="Times New Roman" w:eastAsia="宋体" w:cs="Times New Roman"/>
                <w:color w:val="auto"/>
                <w:sz w:val="24"/>
                <w:szCs w:val="24"/>
              </w:rPr>
              <w:t>等</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同时敷设管网47335m，管径范围为DN300-DN800mm，管材HDPE双壁波纹管</w:t>
            </w:r>
            <w:r>
              <w:rPr>
                <w:rFonts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本工程建设情况一览表见表2-1。</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表2-1  项目主要建设内容一览表</w:t>
            </w:r>
          </w:p>
          <w:tbl>
            <w:tblPr>
              <w:tblStyle w:val="24"/>
              <w:tblW w:w="80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813"/>
              <w:gridCol w:w="489"/>
              <w:gridCol w:w="18"/>
              <w:gridCol w:w="1094"/>
              <w:gridCol w:w="4993"/>
              <w:gridCol w:w="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b/>
                      <w:bCs/>
                      <w:color w:val="auto"/>
                      <w:spacing w:val="6"/>
                      <w:szCs w:val="21"/>
                    </w:rPr>
                  </w:pPr>
                  <w:r>
                    <w:rPr>
                      <w:rFonts w:ascii="Times New Roman" w:hAnsi="Times New Roman" w:eastAsia="宋体" w:cs="Times New Roman"/>
                      <w:b/>
                      <w:bCs/>
                      <w:color w:val="auto"/>
                      <w:spacing w:val="6"/>
                      <w:szCs w:val="21"/>
                    </w:rPr>
                    <w:t>名称</w:t>
                  </w: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b/>
                      <w:bCs/>
                      <w:color w:val="auto"/>
                      <w:spacing w:val="6"/>
                      <w:szCs w:val="21"/>
                    </w:rPr>
                  </w:pPr>
                  <w:r>
                    <w:rPr>
                      <w:rFonts w:ascii="Times New Roman" w:hAnsi="Times New Roman" w:eastAsia="宋体" w:cs="Times New Roman"/>
                      <w:b/>
                      <w:bCs/>
                      <w:color w:val="auto"/>
                      <w:spacing w:val="6"/>
                      <w:szCs w:val="21"/>
                    </w:rPr>
                    <w:t>工程内容</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b/>
                      <w:bCs/>
                      <w:color w:val="auto"/>
                      <w:spacing w:val="6"/>
                      <w:szCs w:val="21"/>
                    </w:rPr>
                  </w:pPr>
                  <w:r>
                    <w:rPr>
                      <w:rFonts w:ascii="Times New Roman" w:hAnsi="Times New Roman" w:eastAsia="宋体" w:cs="Times New Roman"/>
                      <w:b/>
                      <w:bCs/>
                      <w:color w:val="auto"/>
                      <w:szCs w:val="21"/>
                    </w:rPr>
                    <w:t>建设内容及规模</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b/>
                      <w:bCs/>
                      <w:color w:val="auto"/>
                      <w:spacing w:val="6"/>
                      <w:szCs w:val="21"/>
                    </w:rPr>
                  </w:pPr>
                  <w:r>
                    <w:rPr>
                      <w:rFonts w:ascii="Times New Roman" w:hAnsi="Times New Roman" w:eastAsia="宋体" w:cs="Times New Roman"/>
                      <w:b/>
                      <w:bCs/>
                      <w:color w:val="auto"/>
                      <w:spacing w:val="6"/>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restart"/>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主体工程</w:t>
                  </w:r>
                </w:p>
              </w:tc>
              <w:tc>
                <w:tcPr>
                  <w:tcW w:w="489" w:type="dxa"/>
                  <w:vMerge w:val="restart"/>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污水处理厂</w:t>
                  </w: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粗格栅及进水泵房</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规格：</w:t>
                  </w:r>
                  <w:r>
                    <w:rPr>
                      <w:rFonts w:hint="eastAsia" w:ascii="Times New Roman" w:hAnsi="Times New Roman" w:eastAsia="宋体" w:cs="Times New Roman"/>
                      <w:color w:val="auto"/>
                      <w:spacing w:val="6"/>
                      <w:szCs w:val="21"/>
                      <w:lang w:val="en-US" w:eastAsia="zh-CN"/>
                    </w:rPr>
                    <w:t>19.6</w:t>
                  </w:r>
                  <w:r>
                    <w:rPr>
                      <w:rFonts w:ascii="Times New Roman" w:hAnsi="Times New Roman" w:eastAsia="宋体" w:cs="Times New Roman"/>
                      <w:color w:val="auto"/>
                      <w:spacing w:val="6"/>
                      <w:szCs w:val="21"/>
                    </w:rPr>
                    <w:t>m×</w:t>
                  </w:r>
                  <w:r>
                    <w:rPr>
                      <w:rFonts w:hint="eastAsia" w:ascii="Times New Roman" w:hAnsi="Times New Roman" w:eastAsia="宋体" w:cs="Times New Roman"/>
                      <w:color w:val="auto"/>
                      <w:spacing w:val="6"/>
                      <w:szCs w:val="21"/>
                      <w:lang w:val="en-US" w:eastAsia="zh-CN"/>
                    </w:rPr>
                    <w:t>10</w:t>
                  </w:r>
                  <w:r>
                    <w:rPr>
                      <w:rFonts w:ascii="Times New Roman" w:hAnsi="Times New Roman" w:eastAsia="宋体" w:cs="Times New Roman"/>
                      <w:color w:val="auto"/>
                      <w:spacing w:val="6"/>
                      <w:szCs w:val="21"/>
                    </w:rPr>
                    <w:t>m；数量：1座；</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结构：</w:t>
                  </w:r>
                  <w:r>
                    <w:rPr>
                      <w:rFonts w:hint="eastAsia" w:ascii="Times New Roman" w:hAnsi="Times New Roman" w:eastAsia="宋体" w:cs="Times New Roman"/>
                      <w:color w:val="auto"/>
                      <w:spacing w:val="6"/>
                      <w:szCs w:val="21"/>
                      <w:lang w:val="en-US" w:eastAsia="zh-CN"/>
                    </w:rPr>
                    <w:t>轻钢</w:t>
                  </w:r>
                  <w:r>
                    <w:rPr>
                      <w:rFonts w:ascii="Times New Roman" w:hAnsi="Times New Roman" w:eastAsia="宋体" w:cs="Times New Roman"/>
                      <w:color w:val="auto"/>
                      <w:spacing w:val="6"/>
                      <w:szCs w:val="21"/>
                    </w:rPr>
                    <w:t>结构</w:t>
                  </w:r>
                </w:p>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设潜污泵（2用1备）、栅渣压榨机（1用1备）</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细格栅间</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规格：</w:t>
                  </w:r>
                  <w:r>
                    <w:rPr>
                      <w:rFonts w:hint="eastAsia" w:ascii="Times New Roman" w:hAnsi="Times New Roman" w:eastAsia="宋体" w:cs="Times New Roman"/>
                      <w:color w:val="auto"/>
                      <w:spacing w:val="6"/>
                      <w:szCs w:val="21"/>
                      <w:lang w:val="en-US" w:eastAsia="zh-CN"/>
                    </w:rPr>
                    <w:t>12</w:t>
                  </w:r>
                  <w:r>
                    <w:rPr>
                      <w:rFonts w:ascii="Times New Roman" w:hAnsi="Times New Roman" w:eastAsia="宋体" w:cs="Times New Roman"/>
                      <w:color w:val="auto"/>
                      <w:spacing w:val="6"/>
                      <w:szCs w:val="21"/>
                    </w:rPr>
                    <w:t>m×</w:t>
                  </w:r>
                  <w:r>
                    <w:rPr>
                      <w:rFonts w:hint="eastAsia" w:ascii="Times New Roman" w:hAnsi="Times New Roman" w:eastAsia="宋体" w:cs="Times New Roman"/>
                      <w:color w:val="auto"/>
                      <w:spacing w:val="6"/>
                      <w:szCs w:val="21"/>
                      <w:lang w:val="en-US" w:eastAsia="zh-CN"/>
                    </w:rPr>
                    <w:t>16</w:t>
                  </w:r>
                  <w:r>
                    <w:rPr>
                      <w:rFonts w:ascii="Times New Roman" w:hAnsi="Times New Roman" w:eastAsia="宋体" w:cs="Times New Roman"/>
                      <w:color w:val="auto"/>
                      <w:spacing w:val="6"/>
                      <w:szCs w:val="21"/>
                    </w:rPr>
                    <w:t>m；</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结构：</w:t>
                  </w:r>
                  <w:r>
                    <w:rPr>
                      <w:rFonts w:ascii="Times New Roman" w:hAnsi="Times New Roman" w:eastAsia="宋体" w:cs="Times New Roman"/>
                      <w:color w:val="auto"/>
                      <w:szCs w:val="21"/>
                    </w:rPr>
                    <w:t>钢砼结构</w:t>
                  </w:r>
                  <w:r>
                    <w:rPr>
                      <w:rFonts w:ascii="Times New Roman" w:hAnsi="Times New Roman" w:eastAsia="宋体" w:cs="Times New Roman"/>
                      <w:color w:val="auto"/>
                      <w:spacing w:val="6"/>
                      <w:szCs w:val="21"/>
                    </w:rPr>
                    <w:t>；</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设备：细格栅，栅隙=</w:t>
                  </w:r>
                  <w:r>
                    <w:rPr>
                      <w:rFonts w:hint="eastAsia" w:ascii="Times New Roman" w:hAnsi="Times New Roman" w:eastAsia="宋体" w:cs="Times New Roman"/>
                      <w:color w:val="auto"/>
                      <w:spacing w:val="6"/>
                      <w:szCs w:val="21"/>
                      <w:lang w:val="en-US" w:eastAsia="zh-CN"/>
                    </w:rPr>
                    <w:t>4</w:t>
                  </w:r>
                  <w:r>
                    <w:rPr>
                      <w:rFonts w:ascii="Times New Roman" w:hAnsi="Times New Roman" w:eastAsia="宋体" w:cs="Times New Roman"/>
                      <w:color w:val="auto"/>
                      <w:spacing w:val="6"/>
                      <w:szCs w:val="21"/>
                    </w:rPr>
                    <w:t>mm，</w:t>
                  </w:r>
                  <w:r>
                    <w:rPr>
                      <w:rFonts w:hint="eastAsia" w:ascii="Times New Roman" w:hAnsi="Times New Roman" w:eastAsia="宋体" w:cs="Times New Roman"/>
                      <w:color w:val="auto"/>
                      <w:spacing w:val="6"/>
                      <w:szCs w:val="21"/>
                      <w:lang w:val="en-US" w:eastAsia="zh-CN"/>
                    </w:rPr>
                    <w:t>（1用1备）、栅渣压榨机1台</w:t>
                  </w:r>
                  <w:r>
                    <w:rPr>
                      <w:rFonts w:ascii="Times New Roman" w:hAnsi="Times New Roman" w:eastAsia="宋体" w:cs="Times New Roman"/>
                      <w:color w:val="auto"/>
                      <w:spacing w:val="6"/>
                      <w:szCs w:val="21"/>
                    </w:rPr>
                    <w:t>。</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曝气沉砂池</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规格：12.0m×</w:t>
                  </w:r>
                  <w:r>
                    <w:rPr>
                      <w:rFonts w:hint="eastAsia" w:ascii="Times New Roman" w:hAnsi="Times New Roman" w:eastAsia="宋体" w:cs="Times New Roman"/>
                      <w:color w:val="auto"/>
                      <w:spacing w:val="6"/>
                      <w:szCs w:val="21"/>
                      <w:lang w:val="en-US" w:eastAsia="zh-CN"/>
                    </w:rPr>
                    <w:t>10</w:t>
                  </w:r>
                  <w:r>
                    <w:rPr>
                      <w:rFonts w:ascii="Times New Roman" w:hAnsi="Times New Roman" w:eastAsia="宋体" w:cs="Times New Roman"/>
                      <w:color w:val="auto"/>
                      <w:spacing w:val="6"/>
                      <w:szCs w:val="21"/>
                    </w:rPr>
                    <w:t>m×3.</w:t>
                  </w:r>
                  <w:r>
                    <w:rPr>
                      <w:rFonts w:hint="eastAsia" w:ascii="Times New Roman" w:hAnsi="Times New Roman" w:eastAsia="宋体" w:cs="Times New Roman"/>
                      <w:color w:val="auto"/>
                      <w:spacing w:val="6"/>
                      <w:szCs w:val="21"/>
                      <w:lang w:val="en-US" w:eastAsia="zh-CN"/>
                    </w:rPr>
                    <w:t>9</w:t>
                  </w:r>
                  <w:r>
                    <w:rPr>
                      <w:rFonts w:ascii="Times New Roman" w:hAnsi="Times New Roman" w:eastAsia="宋体" w:cs="Times New Roman"/>
                      <w:color w:val="auto"/>
                      <w:spacing w:val="6"/>
                      <w:szCs w:val="21"/>
                    </w:rPr>
                    <w:t>m；</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设计流量：</w:t>
                  </w:r>
                  <w:r>
                    <w:rPr>
                      <w:rFonts w:ascii="Times New Roman" w:hAnsi="Times New Roman" w:eastAsia="宋体" w:cs="Times New Roman"/>
                      <w:color w:val="auto"/>
                      <w:spacing w:val="6"/>
                      <w:szCs w:val="21"/>
                      <w:lang w:val="en-US" w:eastAsia="zh-CN"/>
                    </w:rPr>
                    <w:t>Qmax=0.43m³/s</w:t>
                  </w:r>
                  <w:r>
                    <w:rPr>
                      <w:rFonts w:ascii="Times New Roman" w:hAnsi="Times New Roman" w:eastAsia="宋体" w:cs="Times New Roman"/>
                      <w:color w:val="auto"/>
                      <w:spacing w:val="6"/>
                      <w:szCs w:val="21"/>
                    </w:rPr>
                    <w:t>；</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停留时间：</w:t>
                  </w:r>
                  <w:r>
                    <w:rPr>
                      <w:rFonts w:hint="eastAsia" w:ascii="Times New Roman" w:hAnsi="Times New Roman" w:eastAsia="宋体" w:cs="Times New Roman"/>
                      <w:color w:val="auto"/>
                      <w:spacing w:val="6"/>
                      <w:szCs w:val="21"/>
                      <w:lang w:val="en-US" w:eastAsia="zh-CN"/>
                    </w:rPr>
                    <w:t>4.2</w:t>
                  </w:r>
                  <w:r>
                    <w:rPr>
                      <w:rFonts w:ascii="Times New Roman" w:hAnsi="Times New Roman" w:eastAsia="宋体" w:cs="Times New Roman"/>
                      <w:color w:val="auto"/>
                      <w:spacing w:val="6"/>
                      <w:szCs w:val="21"/>
                    </w:rPr>
                    <w:t>min</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初沉池</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总变化系数：</w:t>
                  </w:r>
                  <w:r>
                    <w:rPr>
                      <w:rFonts w:ascii="Times New Roman" w:hAnsi="Times New Roman" w:eastAsia="宋体" w:cs="Times New Roman"/>
                      <w:color w:val="auto"/>
                      <w:spacing w:val="6"/>
                      <w:szCs w:val="21"/>
                      <w:lang w:val="en-US" w:eastAsia="zh-CN"/>
                    </w:rPr>
                    <w:t>Kz=1.23</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设计流量：</w:t>
                  </w:r>
                  <w:r>
                    <w:rPr>
                      <w:rFonts w:hint="default" w:ascii="Times New Roman" w:hAnsi="Times New Roman" w:eastAsia="宋体" w:cs="Times New Roman"/>
                      <w:color w:val="auto"/>
                      <w:spacing w:val="6"/>
                      <w:szCs w:val="21"/>
                      <w:lang w:val="en-US" w:eastAsia="zh-CN"/>
                    </w:rPr>
                    <w:t>Qmax=0.43m³/s</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数量：</w:t>
                  </w:r>
                  <w:r>
                    <w:rPr>
                      <w:rFonts w:hint="default" w:ascii="Times New Roman" w:hAnsi="Times New Roman" w:eastAsia="宋体" w:cs="Times New Roman"/>
                      <w:color w:val="auto"/>
                      <w:spacing w:val="6"/>
                      <w:szCs w:val="21"/>
                      <w:lang w:val="en-US" w:eastAsia="zh-CN"/>
                    </w:rPr>
                    <w:t xml:space="preserve">2 </w:t>
                  </w:r>
                  <w:r>
                    <w:rPr>
                      <w:rFonts w:hint="eastAsia" w:ascii="Times New Roman" w:hAnsi="Times New Roman" w:eastAsia="宋体" w:cs="Times New Roman"/>
                      <w:color w:val="auto"/>
                      <w:spacing w:val="6"/>
                      <w:szCs w:val="21"/>
                      <w:lang w:val="en-US" w:eastAsia="zh-CN"/>
                    </w:rPr>
                    <w:t>座；初沉池尺寸：</w:t>
                  </w:r>
                  <w:r>
                    <w:rPr>
                      <w:rFonts w:hint="default" w:ascii="Times New Roman" w:hAnsi="Times New Roman" w:eastAsia="宋体" w:cs="Times New Roman"/>
                      <w:color w:val="auto"/>
                      <w:spacing w:val="6"/>
                      <w:szCs w:val="21"/>
                      <w:lang w:val="en-US" w:eastAsia="zh-CN"/>
                    </w:rPr>
                    <w:t>Φ18m</w:t>
                  </w:r>
                  <w:r>
                    <w:rPr>
                      <w:rFonts w:hint="eastAsia" w:ascii="Times New Roman" w:hAnsi="Times New Roman" w:eastAsia="宋体" w:cs="Times New Roman"/>
                      <w:color w:val="auto"/>
                      <w:spacing w:val="6"/>
                      <w:szCs w:val="21"/>
                      <w:lang w:val="en-US" w:eastAsia="zh-CN"/>
                    </w:rPr>
                    <w:t xml:space="preserve">；周边水深 </w:t>
                  </w:r>
                  <w:r>
                    <w:rPr>
                      <w:rFonts w:hint="default" w:ascii="Times New Roman" w:hAnsi="Times New Roman" w:eastAsia="宋体" w:cs="Times New Roman"/>
                      <w:color w:val="auto"/>
                      <w:spacing w:val="6"/>
                      <w:szCs w:val="21"/>
                      <w:lang w:val="en-US" w:eastAsia="zh-CN"/>
                    </w:rPr>
                    <w:t>2.5m</w:t>
                  </w:r>
                  <w:r>
                    <w:rPr>
                      <w:rFonts w:hint="eastAsia" w:ascii="Times New Roman" w:hAnsi="Times New Roman" w:eastAsia="宋体" w:cs="Times New Roman"/>
                      <w:color w:val="auto"/>
                      <w:spacing w:val="6"/>
                      <w:szCs w:val="21"/>
                      <w:lang w:val="en-US" w:eastAsia="zh-CN"/>
                    </w:rPr>
                    <w:t>。 水力停留时间：</w:t>
                  </w:r>
                  <w:r>
                    <w:rPr>
                      <w:rFonts w:hint="default" w:ascii="Times New Roman" w:hAnsi="Times New Roman" w:eastAsia="宋体" w:cs="Times New Roman"/>
                      <w:color w:val="auto"/>
                      <w:spacing w:val="6"/>
                      <w:szCs w:val="21"/>
                      <w:lang w:val="en-US" w:eastAsia="zh-CN"/>
                    </w:rPr>
                    <w:t>0.6h</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初沉池集配水井及污泥泵房</w:t>
                  </w:r>
                </w:p>
              </w:tc>
              <w:tc>
                <w:tcPr>
                  <w:tcW w:w="4993" w:type="dxa"/>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总变化系数：Kz=1.23</w:t>
                  </w:r>
                </w:p>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设计流量：Qmax=0.43m</w:t>
                  </w:r>
                  <w:r>
                    <w:rPr>
                      <w:rFonts w:hint="eastAsia" w:ascii="Times New Roman" w:hAnsi="Times New Roman" w:eastAsia="宋体" w:cs="Times New Roman"/>
                      <w:color w:val="auto"/>
                      <w:spacing w:val="6"/>
                      <w:szCs w:val="21"/>
                      <w:vertAlign w:val="superscript"/>
                      <w:lang w:val="en-US" w:eastAsia="zh-CN"/>
                    </w:rPr>
                    <w:t>3</w:t>
                  </w:r>
                  <w:r>
                    <w:rPr>
                      <w:rFonts w:hint="eastAsia" w:ascii="Times New Roman" w:hAnsi="Times New Roman" w:eastAsia="宋体" w:cs="Times New Roman"/>
                      <w:color w:val="auto"/>
                      <w:spacing w:val="6"/>
                      <w:szCs w:val="21"/>
                      <w:lang w:val="en-US" w:eastAsia="zh-CN"/>
                    </w:rPr>
                    <w:t>/s</w:t>
                  </w:r>
                </w:p>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初沉池集配水井尺寸：L10m，B8m，H 7m</w:t>
                  </w:r>
                </w:p>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设无堵塞离心泵 （1 用 1 备）</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生物池</w:t>
                  </w:r>
                </w:p>
              </w:tc>
              <w:tc>
                <w:tcPr>
                  <w:tcW w:w="4993" w:type="dxa"/>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设计规模：</w:t>
                  </w:r>
                  <w:r>
                    <w:rPr>
                      <w:rFonts w:ascii="Times New Roman" w:hAnsi="Times New Roman" w:eastAsia="宋体" w:cs="Times New Roman"/>
                      <w:color w:val="auto"/>
                      <w:spacing w:val="6"/>
                      <w:szCs w:val="21"/>
                      <w:lang w:val="en-US" w:eastAsia="zh-CN"/>
                    </w:rPr>
                    <w:t xml:space="preserve">30000m³/d </w:t>
                  </w:r>
                  <w:r>
                    <w:rPr>
                      <w:rFonts w:hint="eastAsia" w:ascii="Times New Roman" w:hAnsi="Times New Roman" w:eastAsia="宋体" w:cs="Times New Roman"/>
                      <w:color w:val="auto"/>
                      <w:spacing w:val="6"/>
                      <w:szCs w:val="21"/>
                      <w:lang w:val="en-US" w:eastAsia="zh-CN"/>
                    </w:rPr>
                    <w:t>总变化系数：</w:t>
                  </w:r>
                  <w:r>
                    <w:rPr>
                      <w:rFonts w:hint="default" w:ascii="Times New Roman" w:hAnsi="Times New Roman" w:eastAsia="宋体" w:cs="Times New Roman"/>
                      <w:color w:val="auto"/>
                      <w:spacing w:val="6"/>
                      <w:szCs w:val="21"/>
                      <w:lang w:val="en-US" w:eastAsia="zh-CN"/>
                    </w:rPr>
                    <w:t xml:space="preserve">Kz=1.23 </w:t>
                  </w:r>
                  <w:r>
                    <w:rPr>
                      <w:rFonts w:hint="eastAsia" w:ascii="Times New Roman" w:hAnsi="Times New Roman" w:eastAsia="宋体" w:cs="Times New Roman"/>
                      <w:color w:val="auto"/>
                      <w:spacing w:val="6"/>
                      <w:szCs w:val="21"/>
                      <w:lang w:val="en-US" w:eastAsia="zh-CN"/>
                    </w:rPr>
                    <w:t>设计流量：</w:t>
                  </w:r>
                  <w:r>
                    <w:rPr>
                      <w:rFonts w:hint="default" w:ascii="Times New Roman" w:hAnsi="Times New Roman" w:eastAsia="宋体" w:cs="Times New Roman"/>
                      <w:color w:val="auto"/>
                      <w:spacing w:val="6"/>
                      <w:szCs w:val="21"/>
                      <w:lang w:val="en-US" w:eastAsia="zh-CN"/>
                    </w:rPr>
                    <w:t>Qmax=0.43m³/s</w:t>
                  </w:r>
                  <w:r>
                    <w:rPr>
                      <w:rFonts w:hint="eastAsia" w:ascii="Times New Roman" w:hAnsi="Times New Roman" w:eastAsia="宋体" w:cs="Times New Roman"/>
                      <w:color w:val="auto"/>
                      <w:spacing w:val="6"/>
                      <w:szCs w:val="21"/>
                      <w:lang w:val="en-US" w:eastAsia="zh-CN"/>
                    </w:rPr>
                    <w:t>，最低水温：</w:t>
                  </w:r>
                  <w:r>
                    <w:rPr>
                      <w:rFonts w:hint="default" w:ascii="Times New Roman" w:hAnsi="Times New Roman" w:eastAsia="宋体" w:cs="Times New Roman"/>
                      <w:color w:val="auto"/>
                      <w:spacing w:val="6"/>
                      <w:szCs w:val="21"/>
                      <w:lang w:val="en-US" w:eastAsia="zh-CN"/>
                    </w:rPr>
                    <w:t>11</w:t>
                  </w:r>
                  <w:r>
                    <w:rPr>
                      <w:rFonts w:hint="eastAsia" w:ascii="Times New Roman" w:hAnsi="Times New Roman" w:eastAsia="宋体" w:cs="Times New Roman"/>
                      <w:color w:val="auto"/>
                      <w:spacing w:val="6"/>
                      <w:szCs w:val="21"/>
                      <w:lang w:val="en-US" w:eastAsia="zh-CN"/>
                    </w:rPr>
                    <w:t>℃</w:t>
                  </w:r>
                </w:p>
                <w:p>
                  <w:pPr>
                    <w:widowControl/>
                    <w:spacing w:line="240" w:lineRule="auto"/>
                    <w:ind w:left="0" w:leftChars="0" w:right="0" w:rightChars="0" w:firstLine="0" w:firstLineChars="0"/>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厌氧池停留时间：</w:t>
                  </w:r>
                  <w:r>
                    <w:rPr>
                      <w:rFonts w:hint="default" w:ascii="Times New Roman" w:hAnsi="Times New Roman" w:eastAsia="宋体" w:cs="Times New Roman"/>
                      <w:color w:val="auto"/>
                      <w:spacing w:val="6"/>
                      <w:szCs w:val="21"/>
                      <w:lang w:val="en-US" w:eastAsia="zh-CN"/>
                    </w:rPr>
                    <w:t>1.23h</w:t>
                  </w:r>
                  <w:r>
                    <w:rPr>
                      <w:rFonts w:hint="eastAsia" w:ascii="Times New Roman" w:hAnsi="Times New Roman" w:eastAsia="宋体" w:cs="Times New Roman"/>
                      <w:color w:val="auto"/>
                      <w:spacing w:val="6"/>
                      <w:szCs w:val="21"/>
                      <w:lang w:val="en-US" w:eastAsia="zh-CN"/>
                    </w:rPr>
                    <w:t>，缺氧池停留时间：</w:t>
                  </w:r>
                  <w:r>
                    <w:rPr>
                      <w:rFonts w:hint="default" w:ascii="Times New Roman" w:hAnsi="Times New Roman" w:eastAsia="宋体" w:cs="Times New Roman"/>
                      <w:color w:val="auto"/>
                      <w:spacing w:val="6"/>
                      <w:szCs w:val="21"/>
                      <w:lang w:val="en-US" w:eastAsia="zh-CN"/>
                    </w:rPr>
                    <w:t>8.69h</w:t>
                  </w:r>
                  <w:r>
                    <w:rPr>
                      <w:rFonts w:hint="eastAsia" w:ascii="Times New Roman" w:hAnsi="Times New Roman" w:eastAsia="宋体" w:cs="Times New Roman"/>
                      <w:color w:val="auto"/>
                      <w:spacing w:val="6"/>
                      <w:szCs w:val="21"/>
                      <w:lang w:val="en-US" w:eastAsia="zh-CN"/>
                    </w:rPr>
                    <w:t>，好氧池停留时间：</w:t>
                  </w:r>
                  <w:r>
                    <w:rPr>
                      <w:rFonts w:hint="default" w:ascii="Times New Roman" w:hAnsi="Times New Roman" w:eastAsia="宋体" w:cs="Times New Roman"/>
                      <w:color w:val="auto"/>
                      <w:spacing w:val="6"/>
                      <w:szCs w:val="21"/>
                      <w:lang w:val="en-US" w:eastAsia="zh-CN"/>
                    </w:rPr>
                    <w:t>13.69h</w:t>
                  </w:r>
                </w:p>
                <w:p>
                  <w:pPr>
                    <w:widowControl/>
                    <w:spacing w:line="240" w:lineRule="auto"/>
                    <w:ind w:left="0" w:leftChars="0" w:right="0" w:rightChars="0" w:firstLine="0" w:firstLineChars="0"/>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设计污泥浓度：</w:t>
                  </w:r>
                  <w:r>
                    <w:rPr>
                      <w:rFonts w:hint="default" w:ascii="Times New Roman" w:hAnsi="Times New Roman" w:eastAsia="宋体" w:cs="Times New Roman"/>
                      <w:color w:val="auto"/>
                      <w:spacing w:val="6"/>
                      <w:szCs w:val="21"/>
                      <w:lang w:val="en-US" w:eastAsia="zh-CN"/>
                    </w:rPr>
                    <w:t>4000mg/L</w:t>
                  </w:r>
                </w:p>
                <w:p>
                  <w:pPr>
                    <w:widowControl/>
                    <w:spacing w:line="240" w:lineRule="auto"/>
                    <w:ind w:left="0" w:leftChars="0" w:right="0" w:rightChars="0" w:firstLine="0" w:firstLineChars="0"/>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所需空气量：</w:t>
                  </w:r>
                  <w:r>
                    <w:rPr>
                      <w:rFonts w:hint="default" w:ascii="Times New Roman" w:hAnsi="Times New Roman" w:eastAsia="宋体" w:cs="Times New Roman"/>
                      <w:color w:val="auto"/>
                      <w:spacing w:val="6"/>
                      <w:szCs w:val="21"/>
                      <w:lang w:val="en-US" w:eastAsia="zh-CN"/>
                    </w:rPr>
                    <w:t>300Nm</w:t>
                  </w:r>
                  <w:r>
                    <w:rPr>
                      <w:rFonts w:hint="eastAsia" w:ascii="Times New Roman" w:hAnsi="Times New Roman" w:eastAsia="宋体" w:cs="Times New Roman"/>
                      <w:color w:val="auto"/>
                      <w:spacing w:val="6"/>
                      <w:szCs w:val="21"/>
                      <w:vertAlign w:val="superscript"/>
                      <w:lang w:val="en-US" w:eastAsia="zh-CN"/>
                    </w:rPr>
                    <w:t>3</w:t>
                  </w:r>
                  <w:r>
                    <w:rPr>
                      <w:rFonts w:hint="default" w:ascii="Times New Roman" w:hAnsi="Times New Roman" w:eastAsia="宋体" w:cs="Times New Roman"/>
                      <w:color w:val="auto"/>
                      <w:spacing w:val="6"/>
                      <w:szCs w:val="21"/>
                      <w:lang w:val="en-US" w:eastAsia="zh-CN"/>
                    </w:rPr>
                    <w:t>/min</w:t>
                  </w:r>
                </w:p>
                <w:p>
                  <w:pPr>
                    <w:widowControl/>
                    <w:spacing w:line="240" w:lineRule="auto"/>
                    <w:ind w:left="0" w:leftChars="0" w:right="0" w:rightChars="0" w:firstLine="0" w:firstLineChars="0"/>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污泥回流比：</w:t>
                  </w:r>
                  <w:r>
                    <w:rPr>
                      <w:rFonts w:hint="default" w:ascii="Times New Roman" w:hAnsi="Times New Roman" w:eastAsia="宋体" w:cs="Times New Roman"/>
                      <w:color w:val="auto"/>
                      <w:spacing w:val="6"/>
                      <w:szCs w:val="21"/>
                      <w:lang w:val="en-US" w:eastAsia="zh-CN"/>
                    </w:rPr>
                    <w:t>100%</w:t>
                  </w:r>
                </w:p>
                <w:p>
                  <w:pPr>
                    <w:widowControl/>
                    <w:spacing w:line="240" w:lineRule="auto"/>
                    <w:ind w:left="0" w:leftChars="0" w:right="0" w:rightChars="0" w:firstLine="0" w:firstLineChars="0"/>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混合液内回流比：</w:t>
                  </w:r>
                  <w:r>
                    <w:rPr>
                      <w:rFonts w:hint="default" w:ascii="Times New Roman" w:hAnsi="Times New Roman" w:eastAsia="宋体" w:cs="Times New Roman"/>
                      <w:color w:val="auto"/>
                      <w:spacing w:val="6"/>
                      <w:szCs w:val="21"/>
                      <w:lang w:val="en-US" w:eastAsia="zh-CN"/>
                    </w:rPr>
                    <w:t>300%</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350%</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设计总泥龄：</w:t>
                  </w:r>
                  <w:r>
                    <w:rPr>
                      <w:rFonts w:hint="default" w:ascii="Times New Roman" w:hAnsi="Times New Roman" w:eastAsia="宋体" w:cs="Times New Roman"/>
                      <w:color w:val="auto"/>
                      <w:spacing w:val="6"/>
                      <w:szCs w:val="21"/>
                      <w:lang w:val="en-US" w:eastAsia="zh-CN"/>
                    </w:rPr>
                    <w:t xml:space="preserve">15d </w:t>
                  </w:r>
                  <w:r>
                    <w:rPr>
                      <w:rFonts w:hint="eastAsia" w:ascii="Times New Roman" w:hAnsi="Times New Roman" w:eastAsia="宋体" w:cs="Times New Roman"/>
                      <w:color w:val="auto"/>
                      <w:spacing w:val="6"/>
                      <w:szCs w:val="21"/>
                      <w:lang w:val="en-US" w:eastAsia="zh-CN"/>
                    </w:rPr>
                    <w:t>生物池</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总尺寸：</w:t>
                  </w:r>
                  <w:r>
                    <w:rPr>
                      <w:rFonts w:hint="default" w:ascii="Times New Roman" w:hAnsi="Times New Roman" w:eastAsia="宋体" w:cs="Times New Roman"/>
                      <w:color w:val="auto"/>
                      <w:spacing w:val="6"/>
                      <w:szCs w:val="21"/>
                      <w:lang w:val="en-US" w:eastAsia="zh-CN"/>
                    </w:rPr>
                    <w:t>102m×45m</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H7.7m</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二沉池</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设计流量：</w:t>
                  </w:r>
                  <w:r>
                    <w:rPr>
                      <w:rFonts w:ascii="Times New Roman" w:hAnsi="Times New Roman" w:eastAsia="宋体" w:cs="Times New Roman"/>
                      <w:color w:val="auto"/>
                      <w:spacing w:val="6"/>
                      <w:szCs w:val="21"/>
                      <w:lang w:val="en-US" w:eastAsia="zh-CN"/>
                    </w:rPr>
                    <w:t>Qmax=0.35m</w:t>
                  </w:r>
                  <w:r>
                    <w:rPr>
                      <w:rFonts w:hint="eastAsia" w:ascii="Times New Roman" w:hAnsi="Times New Roman" w:eastAsia="宋体" w:cs="Times New Roman"/>
                      <w:color w:val="auto"/>
                      <w:spacing w:val="6"/>
                      <w:szCs w:val="21"/>
                      <w:vertAlign w:val="superscript"/>
                      <w:lang w:val="en-US" w:eastAsia="zh-CN"/>
                    </w:rPr>
                    <w:t>3</w:t>
                  </w:r>
                  <w:r>
                    <w:rPr>
                      <w:rFonts w:ascii="Times New Roman" w:hAnsi="Times New Roman" w:eastAsia="宋体" w:cs="Times New Roman"/>
                      <w:color w:val="auto"/>
                      <w:spacing w:val="6"/>
                      <w:szCs w:val="21"/>
                      <w:lang w:val="en-US" w:eastAsia="zh-CN"/>
                    </w:rPr>
                    <w:t>/s</w:t>
                  </w:r>
                  <w:r>
                    <w:rPr>
                      <w:rFonts w:hint="eastAsia" w:ascii="Times New Roman" w:hAnsi="Times New Roman" w:eastAsia="宋体" w:cs="Times New Roman"/>
                      <w:color w:val="auto"/>
                      <w:spacing w:val="6"/>
                      <w:szCs w:val="21"/>
                      <w:lang w:val="en-US" w:eastAsia="zh-CN"/>
                    </w:rPr>
                    <w:t>；池数：</w:t>
                  </w:r>
                  <w:r>
                    <w:rPr>
                      <w:rFonts w:hint="default" w:ascii="Times New Roman" w:hAnsi="Times New Roman" w:eastAsia="宋体" w:cs="Times New Roman"/>
                      <w:color w:val="auto"/>
                      <w:spacing w:val="6"/>
                      <w:szCs w:val="21"/>
                      <w:lang w:val="en-US" w:eastAsia="zh-CN"/>
                    </w:rPr>
                    <w:t xml:space="preserve">2 </w:t>
                  </w:r>
                  <w:r>
                    <w:rPr>
                      <w:rFonts w:hint="eastAsia" w:ascii="Times New Roman" w:hAnsi="Times New Roman" w:eastAsia="宋体" w:cs="Times New Roman"/>
                      <w:color w:val="auto"/>
                      <w:spacing w:val="6"/>
                      <w:szCs w:val="21"/>
                      <w:lang w:val="en-US" w:eastAsia="zh-CN"/>
                    </w:rPr>
                    <w:t>座</w:t>
                  </w:r>
                </w:p>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二沉池尺寸：</w:t>
                  </w:r>
                  <w:r>
                    <w:rPr>
                      <w:rFonts w:hint="default" w:ascii="Times New Roman" w:hAnsi="Times New Roman" w:eastAsia="宋体" w:cs="Times New Roman"/>
                      <w:color w:val="auto"/>
                      <w:spacing w:val="6"/>
                      <w:szCs w:val="21"/>
                      <w:lang w:val="en-US" w:eastAsia="zh-CN"/>
                    </w:rPr>
                    <w:t>Φ28m</w:t>
                  </w:r>
                  <w:r>
                    <w:rPr>
                      <w:rFonts w:hint="eastAsia" w:ascii="Times New Roman" w:hAnsi="Times New Roman" w:eastAsia="宋体" w:cs="Times New Roman"/>
                      <w:color w:val="auto"/>
                      <w:spacing w:val="6"/>
                      <w:szCs w:val="21"/>
                      <w:lang w:val="en-US" w:eastAsia="zh-CN"/>
                    </w:rPr>
                    <w:t xml:space="preserve">，周边水深 </w:t>
                  </w:r>
                  <w:r>
                    <w:rPr>
                      <w:rFonts w:hint="default" w:ascii="Times New Roman" w:hAnsi="Times New Roman" w:eastAsia="宋体" w:cs="Times New Roman"/>
                      <w:color w:val="auto"/>
                      <w:spacing w:val="6"/>
                      <w:szCs w:val="21"/>
                      <w:lang w:val="en-US" w:eastAsia="zh-CN"/>
                    </w:rPr>
                    <w:t>4.8m</w:t>
                  </w:r>
                  <w:r>
                    <w:rPr>
                      <w:rFonts w:hint="eastAsia" w:ascii="Times New Roman" w:hAnsi="Times New Roman" w:eastAsia="宋体" w:cs="Times New Roman"/>
                      <w:color w:val="auto"/>
                      <w:spacing w:val="6"/>
                      <w:szCs w:val="21"/>
                      <w:lang w:val="en-US" w:eastAsia="zh-CN"/>
                    </w:rPr>
                    <w:t>。</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水力表面负荷：</w:t>
                  </w:r>
                  <w:r>
                    <w:rPr>
                      <w:rFonts w:hint="default" w:ascii="Times New Roman" w:hAnsi="Times New Roman" w:eastAsia="宋体" w:cs="Times New Roman"/>
                      <w:color w:val="auto"/>
                      <w:spacing w:val="6"/>
                      <w:szCs w:val="21"/>
                      <w:lang w:val="en-US" w:eastAsia="zh-CN"/>
                    </w:rPr>
                    <w:t>1.05m³/(</w:t>
                  </w:r>
                  <w:r>
                    <w:rPr>
                      <w:rFonts w:hint="eastAsia" w:ascii="Times New Roman" w:hAnsi="Times New Roman" w:eastAsia="宋体" w:cs="Times New Roman"/>
                      <w:color w:val="auto"/>
                      <w:spacing w:val="6"/>
                      <w:szCs w:val="21"/>
                      <w:lang w:val="en-US" w:eastAsia="zh-CN"/>
                    </w:rPr>
                    <w:t>m</w:t>
                  </w:r>
                  <w:r>
                    <w:rPr>
                      <w:rFonts w:hint="eastAsia" w:ascii="Times New Roman" w:hAnsi="Times New Roman" w:eastAsia="宋体" w:cs="Times New Roman"/>
                      <w:color w:val="auto"/>
                      <w:spacing w:val="6"/>
                      <w:szCs w:val="21"/>
                      <w:vertAlign w:val="superscript"/>
                      <w:lang w:val="en-US" w:eastAsia="zh-CN"/>
                    </w:rPr>
                    <w:t>3</w:t>
                  </w:r>
                  <w:r>
                    <w:rPr>
                      <w:rFonts w:hint="default" w:ascii="Times New Roman" w:hAnsi="Times New Roman" w:eastAsia="宋体" w:cs="Times New Roman"/>
                      <w:color w:val="auto"/>
                      <w:spacing w:val="6"/>
                      <w:szCs w:val="21"/>
                      <w:lang w:val="en-US" w:eastAsia="zh-CN"/>
                    </w:rPr>
                    <w:t>·h)</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污泥泵池</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设计流量：</w:t>
                  </w:r>
                  <w:r>
                    <w:rPr>
                      <w:rFonts w:ascii="Times New Roman" w:hAnsi="Times New Roman" w:eastAsia="宋体" w:cs="Times New Roman"/>
                      <w:color w:val="auto"/>
                      <w:spacing w:val="6"/>
                      <w:szCs w:val="21"/>
                      <w:lang w:val="en-US" w:eastAsia="zh-CN"/>
                    </w:rPr>
                    <w:t>Qmax=0.35m³/s</w:t>
                  </w:r>
                </w:p>
                <w:p>
                  <w:pPr>
                    <w:widowControl/>
                    <w:spacing w:line="240" w:lineRule="auto"/>
                    <w:ind w:left="0" w:leftChars="0" w:right="0" w:rightChars="0" w:firstLine="0" w:firstLineChars="0"/>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污泥泵池尺寸：</w:t>
                  </w:r>
                  <w:r>
                    <w:rPr>
                      <w:rFonts w:hint="default" w:ascii="Times New Roman" w:hAnsi="Times New Roman" w:eastAsia="宋体" w:cs="Times New Roman"/>
                      <w:color w:val="auto"/>
                      <w:spacing w:val="6"/>
                      <w:szCs w:val="21"/>
                      <w:lang w:val="en-US" w:eastAsia="zh-CN"/>
                    </w:rPr>
                    <w:t>15m×7.8m</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H6.6m</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污泥回流比：</w:t>
                  </w:r>
                  <w:r>
                    <w:rPr>
                      <w:rFonts w:hint="default" w:ascii="Times New Roman" w:hAnsi="Times New Roman" w:eastAsia="宋体" w:cs="Times New Roman"/>
                      <w:color w:val="auto"/>
                      <w:spacing w:val="6"/>
                      <w:szCs w:val="21"/>
                      <w:lang w:val="en-US" w:eastAsia="zh-CN"/>
                    </w:rPr>
                    <w:t>200%</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提升泵池</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设计规模：</w:t>
                  </w:r>
                  <w:r>
                    <w:rPr>
                      <w:rFonts w:ascii="Times New Roman" w:hAnsi="Times New Roman" w:eastAsia="宋体" w:cs="Times New Roman"/>
                      <w:color w:val="auto"/>
                      <w:spacing w:val="6"/>
                      <w:szCs w:val="21"/>
                      <w:lang w:val="en-US" w:eastAsia="zh-CN"/>
                    </w:rPr>
                    <w:t>30000m³/d</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设计流量：</w:t>
                  </w:r>
                  <w:r>
                    <w:rPr>
                      <w:rFonts w:hint="default" w:ascii="Times New Roman" w:hAnsi="Times New Roman" w:eastAsia="宋体" w:cs="Times New Roman"/>
                      <w:color w:val="auto"/>
                      <w:spacing w:val="6"/>
                      <w:szCs w:val="21"/>
                      <w:lang w:val="en-US" w:eastAsia="zh-CN"/>
                    </w:rPr>
                    <w:t>Qmax=0.35m³/s</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提升泵池尺寸：</w:t>
                  </w:r>
                  <w:r>
                    <w:rPr>
                      <w:rFonts w:hint="default" w:ascii="Times New Roman" w:hAnsi="Times New Roman" w:eastAsia="宋体" w:cs="Times New Roman"/>
                      <w:color w:val="auto"/>
                      <w:spacing w:val="6"/>
                      <w:szCs w:val="21"/>
                      <w:lang w:val="en-US" w:eastAsia="zh-CN"/>
                    </w:rPr>
                    <w:t>15m×5m</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H6m</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高效沉淀池及加氯加药间</w:t>
                  </w:r>
                </w:p>
              </w:tc>
              <w:tc>
                <w:tcPr>
                  <w:tcW w:w="4993" w:type="dxa"/>
                  <w:tcBorders>
                    <w:tl2br w:val="nil"/>
                    <w:tr2bl w:val="nil"/>
                  </w:tcBorders>
                  <w:vAlign w:val="center"/>
                </w:tcPr>
                <w:p>
                  <w:pPr>
                    <w:widowControl/>
                    <w:spacing w:line="240" w:lineRule="auto"/>
                    <w:ind w:left="0" w:leftChars="0" w:right="0" w:rightChars="0" w:firstLine="0" w:firstLineChars="0"/>
                    <w:jc w:val="center"/>
                    <w:rPr>
                      <w:rFonts w:hint="default" w:ascii="Times New Roman" w:hAnsi="Times New Roman" w:eastAsia="宋体" w:cs="Times New Roman"/>
                      <w:color w:val="auto"/>
                      <w:spacing w:val="6"/>
                      <w:szCs w:val="21"/>
                      <w:vertAlign w:val="baseline"/>
                      <w:lang w:val="en-US"/>
                    </w:rPr>
                  </w:pPr>
                  <w:r>
                    <w:rPr>
                      <w:rFonts w:hint="eastAsia" w:ascii="Times New Roman" w:hAnsi="Times New Roman" w:eastAsia="宋体" w:cs="Times New Roman"/>
                      <w:color w:val="auto"/>
                      <w:spacing w:val="6"/>
                      <w:szCs w:val="21"/>
                      <w:lang w:val="en-US" w:eastAsia="zh-CN"/>
                    </w:rPr>
                    <w:t>高效沉淀池及加氯加药间、</w:t>
                  </w:r>
                  <w:r>
                    <w:rPr>
                      <w:rFonts w:ascii="Times New Roman" w:hAnsi="Times New Roman" w:eastAsia="宋体" w:cs="Times New Roman"/>
                      <w:color w:val="auto"/>
                      <w:spacing w:val="6"/>
                      <w:szCs w:val="21"/>
                      <w:lang w:val="en-US" w:eastAsia="zh-CN"/>
                    </w:rPr>
                    <w:t>V</w:t>
                  </w:r>
                  <w:r>
                    <w:rPr>
                      <w:rFonts w:hint="eastAsia" w:ascii="Times New Roman" w:hAnsi="Times New Roman" w:eastAsia="宋体" w:cs="Times New Roman"/>
                      <w:color w:val="auto"/>
                      <w:spacing w:val="6"/>
                      <w:szCs w:val="21"/>
                      <w:lang w:val="en-US" w:eastAsia="zh-CN"/>
                    </w:rPr>
                    <w:t>型滤池都设置于一座建筑内，建筑面积</w:t>
                  </w:r>
                  <w:r>
                    <w:rPr>
                      <w:rFonts w:hint="default" w:ascii="Times New Roman" w:hAnsi="Times New Roman" w:eastAsia="宋体" w:cs="Times New Roman"/>
                      <w:color w:val="auto"/>
                      <w:spacing w:val="6"/>
                      <w:szCs w:val="21"/>
                      <w:lang w:val="en-US" w:eastAsia="zh-CN"/>
                    </w:rPr>
                    <w:t>2200</w:t>
                  </w:r>
                  <w:r>
                    <w:rPr>
                      <w:rFonts w:hint="eastAsia" w:ascii="Times New Roman" w:hAnsi="Times New Roman" w:eastAsia="宋体" w:cs="Times New Roman"/>
                      <w:color w:val="auto"/>
                      <w:spacing w:val="6"/>
                      <w:szCs w:val="21"/>
                      <w:lang w:val="en-US" w:eastAsia="zh-CN"/>
                    </w:rPr>
                    <w:t>m</w:t>
                  </w:r>
                  <w:r>
                    <w:rPr>
                      <w:rFonts w:hint="eastAsia" w:ascii="Times New Roman" w:hAnsi="Times New Roman" w:eastAsia="宋体" w:cs="Times New Roman"/>
                      <w:color w:val="auto"/>
                      <w:spacing w:val="6"/>
                      <w:szCs w:val="21"/>
                      <w:vertAlign w:val="superscript"/>
                      <w:lang w:val="en-US" w:eastAsia="zh-CN"/>
                    </w:rPr>
                    <w:t>2</w:t>
                  </w:r>
                  <w:r>
                    <w:rPr>
                      <w:rFonts w:hint="eastAsia" w:ascii="Times New Roman" w:hAnsi="Times New Roman" w:eastAsia="宋体" w:cs="Times New Roman"/>
                      <w:color w:val="auto"/>
                      <w:spacing w:val="6"/>
                      <w:szCs w:val="21"/>
                      <w:vertAlign w:val="baseline"/>
                      <w:lang w:val="en-US" w:eastAsia="zh-CN"/>
                    </w:rPr>
                    <w:t>，高效沉淀池混合池数量：4 格</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V 型滤池</w:t>
                  </w:r>
                </w:p>
              </w:tc>
              <w:tc>
                <w:tcPr>
                  <w:tcW w:w="4993" w:type="dxa"/>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设计流量：</w:t>
                  </w:r>
                  <w:r>
                    <w:rPr>
                      <w:rFonts w:ascii="Times New Roman" w:hAnsi="Times New Roman" w:eastAsia="宋体" w:cs="Times New Roman"/>
                      <w:color w:val="auto"/>
                      <w:spacing w:val="6"/>
                      <w:szCs w:val="21"/>
                      <w:lang w:val="en-US" w:eastAsia="zh-CN"/>
                    </w:rPr>
                    <w:t xml:space="preserve">Qmax=0.35m³/s </w:t>
                  </w:r>
                  <w:r>
                    <w:rPr>
                      <w:rFonts w:hint="eastAsia" w:ascii="Times New Roman" w:hAnsi="Times New Roman" w:eastAsia="宋体" w:cs="Times New Roman"/>
                      <w:color w:val="auto"/>
                      <w:spacing w:val="6"/>
                      <w:szCs w:val="21"/>
                      <w:lang w:val="en-US" w:eastAsia="zh-CN"/>
                    </w:rPr>
                    <w:t>数量：</w:t>
                  </w:r>
                  <w:r>
                    <w:rPr>
                      <w:rFonts w:hint="default" w:ascii="Times New Roman" w:hAnsi="Times New Roman" w:eastAsia="宋体" w:cs="Times New Roman"/>
                      <w:color w:val="auto"/>
                      <w:spacing w:val="6"/>
                      <w:szCs w:val="21"/>
                      <w:lang w:val="en-US" w:eastAsia="zh-CN"/>
                    </w:rPr>
                    <w:t xml:space="preserve">4 </w:t>
                  </w:r>
                  <w:r>
                    <w:rPr>
                      <w:rFonts w:hint="eastAsia" w:ascii="Times New Roman" w:hAnsi="Times New Roman" w:eastAsia="宋体" w:cs="Times New Roman"/>
                      <w:color w:val="auto"/>
                      <w:spacing w:val="6"/>
                      <w:szCs w:val="21"/>
                      <w:lang w:val="en-US" w:eastAsia="zh-CN"/>
                    </w:rPr>
                    <w:t>格</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单格过滤面积：</w:t>
                  </w:r>
                  <w:r>
                    <w:rPr>
                      <w:rFonts w:hint="default" w:ascii="Times New Roman" w:hAnsi="Times New Roman" w:eastAsia="宋体" w:cs="Times New Roman"/>
                      <w:color w:val="auto"/>
                      <w:spacing w:val="6"/>
                      <w:szCs w:val="21"/>
                      <w:lang w:val="en-US" w:eastAsia="zh-CN"/>
                    </w:rPr>
                    <w:t>6m×7m=42</w:t>
                  </w:r>
                  <w:r>
                    <w:rPr>
                      <w:rFonts w:hint="eastAsia" w:ascii="Times New Roman" w:hAnsi="Times New Roman" w:eastAsia="宋体" w:cs="Times New Roman"/>
                      <w:color w:val="auto"/>
                      <w:spacing w:val="6"/>
                      <w:szCs w:val="21"/>
                      <w:lang w:val="en-US" w:eastAsia="zh-CN"/>
                    </w:rPr>
                    <w:t>㎡</w:t>
                  </w:r>
                </w:p>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正常滤速：</w:t>
                  </w:r>
                  <w:r>
                    <w:rPr>
                      <w:rFonts w:hint="default" w:ascii="Times New Roman" w:hAnsi="Times New Roman" w:eastAsia="宋体" w:cs="Times New Roman"/>
                      <w:color w:val="auto"/>
                      <w:spacing w:val="6"/>
                      <w:szCs w:val="21"/>
                      <w:lang w:val="en-US" w:eastAsia="zh-CN"/>
                    </w:rPr>
                    <w:t>7.2m³/</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·h</w:t>
                  </w:r>
                  <w:r>
                    <w:rPr>
                      <w:rFonts w:hint="eastAsia" w:ascii="Times New Roman" w:hAnsi="Times New Roman" w:eastAsia="宋体" w:cs="Times New Roman"/>
                      <w:color w:val="auto"/>
                      <w:spacing w:val="6"/>
                      <w:szCs w:val="21"/>
                      <w:lang w:val="en-US" w:eastAsia="zh-CN"/>
                    </w:rPr>
                    <w:t>）</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反冲洗方式：气冲</w:t>
                  </w:r>
                  <w:r>
                    <w:rPr>
                      <w:rFonts w:hint="default" w:ascii="Times New Roman" w:hAnsi="Times New Roman" w:eastAsia="宋体" w:cs="Times New Roman"/>
                      <w:color w:val="auto"/>
                      <w:spacing w:val="6"/>
                      <w:szCs w:val="21"/>
                      <w:lang w:val="en-US" w:eastAsia="zh-CN"/>
                    </w:rPr>
                    <w:t>+</w:t>
                  </w:r>
                  <w:r>
                    <w:rPr>
                      <w:rFonts w:hint="eastAsia" w:ascii="Times New Roman" w:hAnsi="Times New Roman" w:eastAsia="宋体" w:cs="Times New Roman"/>
                      <w:color w:val="auto"/>
                      <w:spacing w:val="6"/>
                      <w:szCs w:val="21"/>
                      <w:lang w:val="en-US" w:eastAsia="zh-CN"/>
                    </w:rPr>
                    <w:t>水冲方式气冲强度：</w:t>
                  </w:r>
                  <w:r>
                    <w:rPr>
                      <w:rFonts w:hint="default" w:ascii="Times New Roman" w:hAnsi="Times New Roman" w:eastAsia="宋体" w:cs="Times New Roman"/>
                      <w:color w:val="auto"/>
                      <w:spacing w:val="6"/>
                      <w:szCs w:val="21"/>
                      <w:lang w:val="en-US" w:eastAsia="zh-CN"/>
                    </w:rPr>
                    <w:t>54~60 m³/</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h·</w:t>
                  </w:r>
                  <w:r>
                    <w:rPr>
                      <w:rFonts w:hint="eastAsia" w:ascii="Times New Roman" w:hAnsi="Times New Roman" w:eastAsia="宋体" w:cs="Times New Roman"/>
                      <w:color w:val="auto"/>
                      <w:spacing w:val="6"/>
                      <w:szCs w:val="21"/>
                      <w:lang w:val="en-US" w:eastAsia="zh-CN"/>
                    </w:rPr>
                    <w:t>㎡） 水冲强度：</w:t>
                  </w:r>
                  <w:r>
                    <w:rPr>
                      <w:rFonts w:hint="default" w:ascii="Times New Roman" w:hAnsi="Times New Roman" w:eastAsia="宋体" w:cs="Times New Roman"/>
                      <w:color w:val="auto"/>
                      <w:spacing w:val="6"/>
                      <w:szCs w:val="21"/>
                      <w:lang w:val="en-US" w:eastAsia="zh-CN"/>
                    </w:rPr>
                    <w:t>36.9~46.8 m³/</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h·</w:t>
                  </w:r>
                  <w:r>
                    <w:rPr>
                      <w:rFonts w:hint="eastAsia" w:ascii="Times New Roman" w:hAnsi="Times New Roman" w:eastAsia="宋体" w:cs="Times New Roman"/>
                      <w:color w:val="auto"/>
                      <w:spacing w:val="6"/>
                      <w:szCs w:val="21"/>
                      <w:lang w:val="en-US" w:eastAsia="zh-CN"/>
                    </w:rPr>
                    <w:t>㎡） 反冲洗周期：</w:t>
                  </w:r>
                  <w:r>
                    <w:rPr>
                      <w:rFonts w:hint="default" w:ascii="Times New Roman" w:hAnsi="Times New Roman" w:eastAsia="宋体" w:cs="Times New Roman"/>
                      <w:color w:val="auto"/>
                      <w:spacing w:val="6"/>
                      <w:szCs w:val="21"/>
                      <w:lang w:val="en-US" w:eastAsia="zh-CN"/>
                    </w:rPr>
                    <w:t>4</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5d</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接触池及巴氏计量渠</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设计规模：</w:t>
                  </w:r>
                  <w:r>
                    <w:rPr>
                      <w:rFonts w:ascii="Times New Roman" w:hAnsi="Times New Roman" w:eastAsia="宋体" w:cs="Times New Roman"/>
                      <w:color w:val="auto"/>
                      <w:spacing w:val="6"/>
                      <w:szCs w:val="21"/>
                      <w:lang w:val="en-US" w:eastAsia="zh-CN"/>
                    </w:rPr>
                    <w:t>30000m³/d</w:t>
                  </w:r>
                </w:p>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接触池尺寸：</w:t>
                  </w:r>
                  <w:r>
                    <w:rPr>
                      <w:rFonts w:ascii="Times New Roman" w:hAnsi="Times New Roman" w:eastAsia="宋体" w:cs="Times New Roman"/>
                      <w:color w:val="auto"/>
                      <w:spacing w:val="6"/>
                      <w:szCs w:val="21"/>
                      <w:lang w:val="en-US" w:eastAsia="zh-CN"/>
                    </w:rPr>
                    <w:t>24m×5.3m</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 xml:space="preserve">H6.6m </w:t>
                  </w:r>
                  <w:r>
                    <w:rPr>
                      <w:rFonts w:hint="eastAsia" w:ascii="Times New Roman" w:hAnsi="Times New Roman" w:eastAsia="宋体" w:cs="Times New Roman"/>
                      <w:color w:val="auto"/>
                      <w:spacing w:val="6"/>
                      <w:szCs w:val="21"/>
                      <w:lang w:val="en-US" w:eastAsia="zh-CN"/>
                    </w:rPr>
                    <w:t>计量渠尺寸：</w:t>
                  </w:r>
                  <w:r>
                    <w:rPr>
                      <w:rFonts w:hint="default" w:ascii="Times New Roman" w:hAnsi="Times New Roman" w:eastAsia="宋体" w:cs="Times New Roman"/>
                      <w:color w:val="auto"/>
                      <w:spacing w:val="6"/>
                      <w:szCs w:val="21"/>
                      <w:lang w:val="en-US" w:eastAsia="zh-CN"/>
                    </w:rPr>
                    <w:t>L24m</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B1.5m</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H1.8m</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污泥浓缩池</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设计规模：</w:t>
                  </w:r>
                  <w:r>
                    <w:rPr>
                      <w:rFonts w:ascii="Times New Roman" w:hAnsi="Times New Roman" w:eastAsia="宋体" w:cs="Times New Roman"/>
                      <w:color w:val="auto"/>
                      <w:spacing w:val="6"/>
                      <w:szCs w:val="21"/>
                      <w:lang w:val="en-US" w:eastAsia="zh-CN"/>
                    </w:rPr>
                    <w:t>30000m³/d</w:t>
                  </w:r>
                </w:p>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污泥浓缩池数量：</w:t>
                  </w:r>
                  <w:r>
                    <w:rPr>
                      <w:rFonts w:hint="default" w:ascii="Times New Roman" w:hAnsi="Times New Roman" w:eastAsia="宋体" w:cs="Times New Roman"/>
                      <w:color w:val="auto"/>
                      <w:spacing w:val="6"/>
                      <w:szCs w:val="21"/>
                      <w:lang w:val="en-US" w:eastAsia="zh-CN"/>
                    </w:rPr>
                    <w:t xml:space="preserve">1 </w:t>
                  </w:r>
                  <w:r>
                    <w:rPr>
                      <w:rFonts w:hint="eastAsia" w:ascii="Times New Roman" w:hAnsi="Times New Roman" w:eastAsia="宋体" w:cs="Times New Roman"/>
                      <w:color w:val="auto"/>
                      <w:spacing w:val="6"/>
                      <w:szCs w:val="21"/>
                      <w:lang w:val="en-US" w:eastAsia="zh-CN"/>
                    </w:rPr>
                    <w:t>座污泥浓缩</w:t>
                  </w:r>
                </w:p>
                <w:p>
                  <w:pPr>
                    <w:widowControl/>
                    <w:spacing w:line="240" w:lineRule="auto"/>
                    <w:ind w:left="0" w:leftChars="0" w:right="0" w:rightChars="0" w:firstLine="0" w:firstLineChars="0"/>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池 尺寸 ：</w:t>
                  </w:r>
                  <w:r>
                    <w:rPr>
                      <w:rFonts w:hint="default" w:ascii="Times New Roman" w:hAnsi="Times New Roman" w:eastAsia="宋体" w:cs="Times New Roman"/>
                      <w:color w:val="auto"/>
                      <w:spacing w:val="6"/>
                      <w:szCs w:val="21"/>
                      <w:lang w:val="en-US" w:eastAsia="zh-CN"/>
                    </w:rPr>
                    <w:t>Φ18m</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H4m</w:t>
                  </w:r>
                </w:p>
                <w:p>
                  <w:pPr>
                    <w:widowControl/>
                    <w:spacing w:line="240" w:lineRule="auto"/>
                    <w:ind w:left="0" w:leftChars="0" w:right="0" w:rightChars="0" w:firstLine="0" w:firstLineChars="0"/>
                    <w:jc w:val="center"/>
                    <w:rPr>
                      <w:rFonts w:hint="default" w:ascii="Times New Roman" w:hAnsi="Times New Roman" w:eastAsia="宋体" w:cs="Times New Roman"/>
                      <w:color w:val="auto"/>
                      <w:spacing w:val="6"/>
                      <w:szCs w:val="21"/>
                      <w:lang w:val="en-US"/>
                    </w:rPr>
                  </w:pPr>
                  <w:r>
                    <w:rPr>
                      <w:rFonts w:hint="eastAsia" w:ascii="Times New Roman" w:hAnsi="Times New Roman" w:eastAsia="宋体" w:cs="Times New Roman"/>
                      <w:color w:val="auto"/>
                      <w:spacing w:val="6"/>
                      <w:szCs w:val="21"/>
                      <w:lang w:val="en-US" w:eastAsia="zh-CN"/>
                    </w:rPr>
                    <w:t>结构 ：圆形钢筋混凝土结构固体负荷 ：</w:t>
                  </w:r>
                  <w:r>
                    <w:rPr>
                      <w:rFonts w:hint="default" w:ascii="Times New Roman" w:hAnsi="Times New Roman" w:eastAsia="宋体" w:cs="Times New Roman"/>
                      <w:color w:val="auto"/>
                      <w:spacing w:val="6"/>
                      <w:szCs w:val="21"/>
                      <w:lang w:val="en-US" w:eastAsia="zh-CN"/>
                    </w:rPr>
                    <w:t>38.22~46.27kgDS/</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·d</w:t>
                  </w:r>
                  <w:r>
                    <w:rPr>
                      <w:rFonts w:hint="eastAsia" w:ascii="Times New Roman" w:hAnsi="Times New Roman" w:eastAsia="宋体" w:cs="Times New Roman"/>
                      <w:color w:val="auto"/>
                      <w:spacing w:val="6"/>
                      <w:szCs w:val="21"/>
                      <w:lang w:val="en-US" w:eastAsia="zh-CN"/>
                    </w:rPr>
                    <w:t>） 停留时间：</w:t>
                  </w:r>
                  <w:r>
                    <w:rPr>
                      <w:rFonts w:hint="default" w:ascii="Times New Roman" w:hAnsi="Times New Roman" w:eastAsia="宋体" w:cs="Times New Roman"/>
                      <w:color w:val="auto"/>
                      <w:spacing w:val="6"/>
                      <w:szCs w:val="21"/>
                      <w:lang w:val="en-US" w:eastAsia="zh-CN"/>
                    </w:rPr>
                    <w:t>25.6</w:t>
                  </w:r>
                  <w:r>
                    <w:rPr>
                      <w:rFonts w:hint="eastAsia" w:ascii="Times New Roman" w:hAnsi="Times New Roman" w:eastAsia="宋体" w:cs="Times New Roman"/>
                      <w:color w:val="auto"/>
                      <w:spacing w:val="6"/>
                      <w:szCs w:val="21"/>
                      <w:lang w:val="en-US" w:eastAsia="zh-CN"/>
                    </w:rPr>
                    <w:t>～</w:t>
                  </w:r>
                  <w:r>
                    <w:rPr>
                      <w:rFonts w:hint="default" w:ascii="Times New Roman" w:hAnsi="Times New Roman" w:eastAsia="宋体" w:cs="Times New Roman"/>
                      <w:color w:val="auto"/>
                      <w:spacing w:val="6"/>
                      <w:szCs w:val="21"/>
                      <w:lang w:val="en-US" w:eastAsia="zh-CN"/>
                    </w:rPr>
                    <w:t>23.5</w:t>
                  </w:r>
                  <w:r>
                    <w:rPr>
                      <w:rFonts w:hint="eastAsia" w:ascii="Times New Roman" w:hAnsi="Times New Roman" w:eastAsia="宋体" w:cs="Times New Roman"/>
                      <w:color w:val="auto"/>
                      <w:spacing w:val="6"/>
                      <w:szCs w:val="21"/>
                      <w:lang w:val="en-US" w:eastAsia="zh-CN"/>
                    </w:rPr>
                    <w:t>h</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restart"/>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配套管网工程</w:t>
                  </w: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主干管 1</w:t>
                  </w:r>
                </w:p>
              </w:tc>
              <w:tc>
                <w:tcPr>
                  <w:tcW w:w="4993" w:type="dxa"/>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滨河北路污水管线，主干管长度 6842m，服务面积 1239hm</w:t>
                  </w:r>
                  <w:r>
                    <w:rPr>
                      <w:rFonts w:hint="eastAsia" w:ascii="Times New Roman" w:hAnsi="Times New Roman" w:eastAsia="宋体" w:cs="Times New Roman"/>
                      <w:color w:val="auto"/>
                      <w:spacing w:val="6"/>
                      <w:szCs w:val="21"/>
                      <w:vertAlign w:val="superscript"/>
                      <w:lang w:val="en-US" w:eastAsia="zh-CN"/>
                    </w:rPr>
                    <w:t>2</w:t>
                  </w:r>
                  <w:r>
                    <w:rPr>
                      <w:rFonts w:hint="eastAsia" w:ascii="Times New Roman" w:hAnsi="Times New Roman" w:eastAsia="宋体" w:cs="Times New Roman"/>
                      <w:color w:val="auto"/>
                      <w:spacing w:val="6"/>
                      <w:szCs w:val="21"/>
                      <w:lang w:val="en-US" w:eastAsia="zh-CN"/>
                    </w:rPr>
                    <w:t>，污水量约为811.6L/s</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主干管 2</w:t>
                  </w:r>
                </w:p>
              </w:tc>
              <w:tc>
                <w:tcPr>
                  <w:tcW w:w="4993" w:type="dxa"/>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滨河南路污水管线，主干管长度 6827m，服务面积 760hm</w:t>
                  </w:r>
                  <w:r>
                    <w:rPr>
                      <w:rFonts w:hint="eastAsia" w:ascii="Times New Roman" w:hAnsi="Times New Roman" w:eastAsia="宋体" w:cs="Times New Roman"/>
                      <w:color w:val="auto"/>
                      <w:spacing w:val="6"/>
                      <w:szCs w:val="21"/>
                      <w:vertAlign w:val="superscript"/>
                      <w:lang w:val="en-US" w:eastAsia="zh-CN"/>
                    </w:rPr>
                    <w:t>2</w:t>
                  </w:r>
                  <w:r>
                    <w:rPr>
                      <w:rFonts w:hint="eastAsia" w:ascii="Times New Roman" w:hAnsi="Times New Roman" w:eastAsia="宋体" w:cs="Times New Roman"/>
                      <w:color w:val="auto"/>
                      <w:spacing w:val="6"/>
                      <w:szCs w:val="21"/>
                      <w:lang w:val="en-US" w:eastAsia="zh-CN"/>
                    </w:rPr>
                    <w:t>，污水量约为 543.1L/s</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支干管 1</w:t>
                  </w:r>
                </w:p>
              </w:tc>
              <w:tc>
                <w:tcPr>
                  <w:tcW w:w="4993" w:type="dxa"/>
                  <w:tcBorders>
                    <w:tl2br w:val="nil"/>
                    <w:tr2bl w:val="nil"/>
                  </w:tcBorders>
                  <w:vAlign w:val="center"/>
                </w:tcPr>
                <w:p>
                  <w:pPr>
                    <w:keepNext w:val="0"/>
                    <w:keepLines w:val="0"/>
                    <w:widowControl/>
                    <w:suppressLineNumbers w:val="0"/>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西义路污水管线，主干管长度 1611m，服务面积52.3hm</w:t>
                  </w:r>
                  <w:r>
                    <w:rPr>
                      <w:rFonts w:hint="eastAsia" w:ascii="Times New Roman" w:hAnsi="Times New Roman" w:eastAsia="宋体" w:cs="Times New Roman"/>
                      <w:color w:val="auto"/>
                      <w:spacing w:val="6"/>
                      <w:szCs w:val="21"/>
                      <w:vertAlign w:val="superscript"/>
                      <w:lang w:val="en-US" w:eastAsia="zh-CN"/>
                    </w:rPr>
                    <w:t>2</w:t>
                  </w:r>
                  <w:r>
                    <w:rPr>
                      <w:rFonts w:hint="eastAsia" w:ascii="Times New Roman" w:hAnsi="Times New Roman" w:eastAsia="宋体" w:cs="Times New Roman"/>
                      <w:color w:val="auto"/>
                      <w:spacing w:val="6"/>
                      <w:szCs w:val="21"/>
                      <w:lang w:val="en-US" w:eastAsia="zh-CN"/>
                    </w:rPr>
                    <w:t>，污水量约为 50.5L/s</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支干管 2</w:t>
                  </w:r>
                </w:p>
              </w:tc>
              <w:tc>
                <w:tcPr>
                  <w:tcW w:w="4993" w:type="dxa"/>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光明路污水管线，主干管长度 1722m，服务面积64.1hm</w:t>
                  </w:r>
                  <w:r>
                    <w:rPr>
                      <w:rFonts w:hint="eastAsia" w:ascii="Times New Roman" w:hAnsi="Times New Roman" w:eastAsia="宋体" w:cs="Times New Roman"/>
                      <w:color w:val="auto"/>
                      <w:spacing w:val="6"/>
                      <w:szCs w:val="21"/>
                      <w:vertAlign w:val="superscript"/>
                      <w:lang w:val="en-US" w:eastAsia="zh-CN"/>
                    </w:rPr>
                    <w:t>2</w:t>
                  </w:r>
                  <w:r>
                    <w:rPr>
                      <w:rFonts w:hint="eastAsia" w:ascii="Times New Roman" w:hAnsi="Times New Roman" w:eastAsia="宋体" w:cs="Times New Roman"/>
                      <w:color w:val="auto"/>
                      <w:spacing w:val="6"/>
                      <w:szCs w:val="21"/>
                      <w:lang w:val="en-US" w:eastAsia="zh-CN"/>
                    </w:rPr>
                    <w:t>，污水量约为 58.08L/s</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支干管 3</w:t>
                  </w:r>
                </w:p>
              </w:tc>
              <w:tc>
                <w:tcPr>
                  <w:tcW w:w="4993" w:type="dxa"/>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万里路污水管线，主 干管长度 870m，服务面积 62hm</w:t>
                  </w:r>
                  <w:r>
                    <w:rPr>
                      <w:rFonts w:hint="eastAsia" w:ascii="Times New Roman" w:hAnsi="Times New Roman" w:eastAsia="宋体" w:cs="Times New Roman"/>
                      <w:color w:val="auto"/>
                      <w:spacing w:val="6"/>
                      <w:szCs w:val="21"/>
                      <w:vertAlign w:val="superscript"/>
                      <w:lang w:val="en-US" w:eastAsia="zh-CN"/>
                    </w:rPr>
                    <w:t>2</w:t>
                  </w:r>
                  <w:r>
                    <w:rPr>
                      <w:rFonts w:hint="eastAsia" w:ascii="Times New Roman" w:hAnsi="Times New Roman" w:eastAsia="宋体" w:cs="Times New Roman"/>
                      <w:color w:val="auto"/>
                      <w:spacing w:val="6"/>
                      <w:szCs w:val="21"/>
                      <w:lang w:val="en-US" w:eastAsia="zh-CN"/>
                    </w:rPr>
                    <w:t>，污水量约为 58.08L/s</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支干管 4</w:t>
                  </w:r>
                </w:p>
              </w:tc>
              <w:tc>
                <w:tcPr>
                  <w:tcW w:w="4993" w:type="dxa"/>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向阳路污水管线，主干管长度 2435m，服务面积 199hm</w:t>
                  </w:r>
                  <w:r>
                    <w:rPr>
                      <w:rFonts w:hint="eastAsia" w:ascii="Times New Roman" w:hAnsi="Times New Roman" w:eastAsia="宋体" w:cs="Times New Roman"/>
                      <w:color w:val="auto"/>
                      <w:spacing w:val="6"/>
                      <w:szCs w:val="21"/>
                      <w:vertAlign w:val="superscript"/>
                      <w:lang w:val="en-US" w:eastAsia="zh-CN"/>
                    </w:rPr>
                    <w:t>2</w:t>
                  </w:r>
                  <w:r>
                    <w:rPr>
                      <w:rFonts w:hint="eastAsia" w:ascii="Times New Roman" w:hAnsi="Times New Roman" w:eastAsia="宋体" w:cs="Times New Roman"/>
                      <w:color w:val="auto"/>
                      <w:spacing w:val="6"/>
                      <w:szCs w:val="21"/>
                      <w:lang w:val="en-US" w:eastAsia="zh-CN"/>
                    </w:rPr>
                    <w:t>，污水量约为 163.7L/s</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489" w:type="dxa"/>
                  <w:vMerge w:val="continue"/>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p>
              </w:tc>
              <w:tc>
                <w:tcPr>
                  <w:tcW w:w="1112" w:type="dxa"/>
                  <w:gridSpan w:val="2"/>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支管</w:t>
                  </w:r>
                </w:p>
              </w:tc>
              <w:tc>
                <w:tcPr>
                  <w:tcW w:w="4993" w:type="dxa"/>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支管分别接入主干管和支干管，支干管总长度 27028m</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restart"/>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辅助工程</w:t>
                  </w: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污泥提升泵房</w:t>
                  </w:r>
                </w:p>
              </w:tc>
              <w:tc>
                <w:tcPr>
                  <w:tcW w:w="4993" w:type="dxa"/>
                  <w:tcBorders>
                    <w:tl2br w:val="nil"/>
                    <w:tr2bl w:val="nil"/>
                  </w:tcBorders>
                  <w:vAlign w:val="center"/>
                </w:tcPr>
                <w:p>
                  <w:pPr>
                    <w:pStyle w:val="7"/>
                    <w:spacing w:line="240" w:lineRule="auto"/>
                    <w:ind w:left="0" w:leftChars="0" w:right="0" w:rightChars="0" w:firstLine="0" w:firstLineChars="0"/>
                    <w:jc w:val="center"/>
                    <w:rPr>
                      <w:color w:val="auto"/>
                    </w:rPr>
                  </w:pPr>
                  <w:r>
                    <w:rPr>
                      <w:color w:val="auto"/>
                      <w:spacing w:val="6"/>
                      <w:szCs w:val="21"/>
                    </w:rPr>
                    <w:t>规格：</w:t>
                  </w:r>
                  <w:r>
                    <w:rPr>
                      <w:color w:val="auto"/>
                      <w:spacing w:val="6"/>
                      <w:szCs w:val="21"/>
                      <w:lang w:val="en-US" w:eastAsia="zh-CN"/>
                    </w:rPr>
                    <w:t>10.8m×5.8m</w:t>
                  </w:r>
                  <w:r>
                    <w:rPr>
                      <w:color w:val="auto"/>
                      <w:spacing w:val="6"/>
                      <w:kern w:val="2"/>
                      <w:szCs w:val="21"/>
                    </w:rPr>
                    <w:t>，数量：1座</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配电室</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配电室平面尺寸</w:t>
                  </w:r>
                  <w:r>
                    <w:rPr>
                      <w:rFonts w:ascii="Times New Roman" w:hAnsi="Times New Roman" w:eastAsia="宋体" w:cs="Times New Roman"/>
                      <w:color w:val="auto"/>
                      <w:szCs w:val="21"/>
                      <w:lang w:val="en-US" w:eastAsia="zh-CN"/>
                    </w:rPr>
                    <w:t>13.2×7.2m</w:t>
                  </w:r>
                  <w:r>
                    <w:rPr>
                      <w:rFonts w:hint="eastAsia" w:ascii="Times New Roman" w:hAnsi="Times New Roman" w:eastAsia="宋体" w:cs="Times New Roman"/>
                      <w:color w:val="auto"/>
                      <w:szCs w:val="21"/>
                      <w:lang w:val="en-US" w:eastAsia="zh-CN"/>
                    </w:rPr>
                    <w:t>，建筑高度</w:t>
                  </w:r>
                  <w:r>
                    <w:rPr>
                      <w:rFonts w:hint="default" w:ascii="Times New Roman" w:hAnsi="Times New Roman" w:eastAsia="宋体" w:cs="Times New Roman"/>
                      <w:color w:val="auto"/>
                      <w:szCs w:val="21"/>
                      <w:lang w:val="en-US" w:eastAsia="zh-CN"/>
                    </w:rPr>
                    <w:t xml:space="preserve">4.2 </w:t>
                  </w:r>
                  <w:r>
                    <w:rPr>
                      <w:rFonts w:hint="eastAsia" w:ascii="Times New Roman" w:hAnsi="Times New Roman" w:eastAsia="宋体" w:cs="Times New Roman"/>
                      <w:color w:val="auto"/>
                      <w:szCs w:val="21"/>
                      <w:lang w:val="en-US" w:eastAsia="zh-CN"/>
                    </w:rPr>
                    <w:t>米，采用单层砖混结构</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鼓风机房</w:t>
                  </w:r>
                </w:p>
              </w:tc>
              <w:tc>
                <w:tcPr>
                  <w:tcW w:w="4993" w:type="dxa"/>
                  <w:tcBorders>
                    <w:tl2br w:val="nil"/>
                    <w:tr2bl w:val="nil"/>
                  </w:tcBorders>
                  <w:vAlign w:val="center"/>
                </w:tcPr>
                <w:p>
                  <w:pPr>
                    <w:pStyle w:val="7"/>
                    <w:spacing w:line="240" w:lineRule="auto"/>
                    <w:ind w:left="0" w:leftChars="0" w:right="0" w:rightChars="0" w:firstLine="0" w:firstLineChars="0"/>
                    <w:jc w:val="center"/>
                    <w:rPr>
                      <w:color w:val="auto"/>
                    </w:rPr>
                  </w:pPr>
                  <w:r>
                    <w:rPr>
                      <w:rFonts w:hint="eastAsia"/>
                      <w:color w:val="auto"/>
                      <w:lang w:val="en-US" w:eastAsia="zh-CN"/>
                    </w:rPr>
                    <w:t>设计最大供气风量：</w:t>
                  </w:r>
                  <w:r>
                    <w:rPr>
                      <w:color w:val="auto"/>
                      <w:lang w:val="en-US" w:eastAsia="zh-CN"/>
                    </w:rPr>
                    <w:t>Qmax=300m³/min</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综合楼</w:t>
                  </w:r>
                </w:p>
              </w:tc>
              <w:tc>
                <w:tcPr>
                  <w:tcW w:w="4993" w:type="dxa"/>
                  <w:tcBorders>
                    <w:tl2br w:val="nil"/>
                    <w:tr2bl w:val="nil"/>
                  </w:tcBorders>
                  <w:vAlign w:val="center"/>
                </w:tcPr>
                <w:p>
                  <w:pPr>
                    <w:pStyle w:val="7"/>
                    <w:spacing w:line="240" w:lineRule="auto"/>
                    <w:ind w:left="0" w:leftChars="0" w:right="0" w:rightChars="0" w:firstLine="0" w:firstLineChars="0"/>
                    <w:jc w:val="center"/>
                    <w:rPr>
                      <w:color w:val="auto"/>
                      <w:szCs w:val="21"/>
                    </w:rPr>
                  </w:pPr>
                  <w:r>
                    <w:rPr>
                      <w:rFonts w:hint="eastAsia"/>
                      <w:color w:val="auto"/>
                      <w:szCs w:val="21"/>
                      <w:lang w:val="en-US" w:eastAsia="zh-CN"/>
                    </w:rPr>
                    <w:t xml:space="preserve">建筑面积 </w:t>
                  </w:r>
                  <w:r>
                    <w:rPr>
                      <w:color w:val="auto"/>
                      <w:szCs w:val="21"/>
                      <w:lang w:val="en-US" w:eastAsia="zh-CN"/>
                    </w:rPr>
                    <w:t>150m</w:t>
                  </w:r>
                  <w:r>
                    <w:rPr>
                      <w:color w:val="auto"/>
                      <w:szCs w:val="21"/>
                      <w:vertAlign w:val="superscript"/>
                      <w:lang w:val="en-US" w:eastAsia="zh-CN"/>
                    </w:rPr>
                    <w:t>2</w:t>
                  </w:r>
                  <w:r>
                    <w:rPr>
                      <w:rFonts w:hint="eastAsia"/>
                      <w:color w:val="auto"/>
                      <w:szCs w:val="21"/>
                      <w:lang w:val="en-US" w:eastAsia="zh-CN"/>
                    </w:rPr>
                    <w:t>，平面尺寸</w:t>
                  </w:r>
                  <w:r>
                    <w:rPr>
                      <w:rFonts w:hint="default"/>
                      <w:color w:val="auto"/>
                      <w:szCs w:val="21"/>
                      <w:lang w:val="en-US" w:eastAsia="zh-CN"/>
                    </w:rPr>
                    <w:t>16.5×4.5m</w:t>
                  </w:r>
                  <w:r>
                    <w:rPr>
                      <w:rFonts w:hint="eastAsia"/>
                      <w:color w:val="auto"/>
                      <w:szCs w:val="21"/>
                      <w:lang w:val="en-US" w:eastAsia="zh-CN"/>
                    </w:rPr>
                    <w:t>，建筑高度</w:t>
                  </w:r>
                  <w:r>
                    <w:rPr>
                      <w:rFonts w:hint="default"/>
                      <w:color w:val="auto"/>
                      <w:szCs w:val="21"/>
                      <w:lang w:val="en-US" w:eastAsia="zh-CN"/>
                    </w:rPr>
                    <w:t xml:space="preserve">6.6 </w:t>
                  </w:r>
                  <w:r>
                    <w:rPr>
                      <w:rFonts w:hint="eastAsia"/>
                      <w:color w:val="auto"/>
                      <w:szCs w:val="21"/>
                      <w:lang w:val="en-US" w:eastAsia="zh-CN"/>
                    </w:rPr>
                    <w:t>米，两层砖混结构，综合楼承担全厂的行政办公、化验、机修、集中控制和生产调度、值班等功能，化验室可测定BOD</w:t>
                  </w:r>
                  <w:r>
                    <w:rPr>
                      <w:rFonts w:hint="eastAsia"/>
                      <w:color w:val="auto"/>
                      <w:szCs w:val="21"/>
                      <w:vertAlign w:val="subscript"/>
                      <w:lang w:val="en-US" w:eastAsia="zh-CN"/>
                    </w:rPr>
                    <w:t>5</w:t>
                  </w:r>
                  <w:r>
                    <w:rPr>
                      <w:rFonts w:hint="eastAsia"/>
                      <w:color w:val="auto"/>
                      <w:szCs w:val="21"/>
                      <w:lang w:val="en-US" w:eastAsia="zh-CN"/>
                    </w:rPr>
                    <w:t>、COD</w:t>
                  </w:r>
                  <w:r>
                    <w:rPr>
                      <w:rFonts w:hint="eastAsia"/>
                      <w:color w:val="auto"/>
                      <w:szCs w:val="21"/>
                      <w:vertAlign w:val="subscript"/>
                      <w:lang w:val="en-US" w:eastAsia="zh-CN"/>
                    </w:rPr>
                    <w:t>Cr</w:t>
                  </w:r>
                  <w:r>
                    <w:rPr>
                      <w:rFonts w:hint="eastAsia"/>
                      <w:color w:val="auto"/>
                      <w:szCs w:val="21"/>
                      <w:lang w:val="en-US" w:eastAsia="zh-CN"/>
                    </w:rPr>
                    <w:t>、SS、NH</w:t>
                  </w:r>
                  <w:r>
                    <w:rPr>
                      <w:rFonts w:hint="eastAsia"/>
                      <w:color w:val="auto"/>
                      <w:szCs w:val="21"/>
                      <w:vertAlign w:val="subscript"/>
                      <w:lang w:val="en-US" w:eastAsia="zh-CN"/>
                    </w:rPr>
                    <w:t>3</w:t>
                  </w:r>
                  <w:r>
                    <w:rPr>
                      <w:rFonts w:hint="eastAsia"/>
                      <w:color w:val="auto"/>
                      <w:szCs w:val="21"/>
                      <w:lang w:val="en-US" w:eastAsia="zh-CN"/>
                    </w:rPr>
                    <w:t>-N、TN、TP、pH 值、DO、余氯、SV、水温等指标，且能检测微生物、细菌的生长状态</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hint="eastAsia"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门房</w:t>
                  </w:r>
                </w:p>
              </w:tc>
              <w:tc>
                <w:tcPr>
                  <w:tcW w:w="4993" w:type="dxa"/>
                  <w:tcBorders>
                    <w:tl2br w:val="nil"/>
                    <w:tr2bl w:val="nil"/>
                  </w:tcBorders>
                  <w:vAlign w:val="center"/>
                </w:tcPr>
                <w:p>
                  <w:pPr>
                    <w:pStyle w:val="7"/>
                    <w:spacing w:line="240" w:lineRule="auto"/>
                    <w:ind w:left="0" w:leftChars="0" w:right="0" w:rightChars="0" w:firstLine="0" w:firstLineChars="0"/>
                    <w:jc w:val="center"/>
                    <w:rPr>
                      <w:rFonts w:hint="eastAsia"/>
                      <w:color w:val="auto"/>
                      <w:szCs w:val="21"/>
                      <w:lang w:val="en-US" w:eastAsia="zh-CN"/>
                    </w:rPr>
                  </w:pPr>
                  <w:r>
                    <w:rPr>
                      <w:rFonts w:hint="eastAsia"/>
                      <w:color w:val="auto"/>
                      <w:szCs w:val="21"/>
                      <w:lang w:val="en-US" w:eastAsia="zh-CN"/>
                    </w:rPr>
                    <w:t>建筑 面积16m</w:t>
                  </w:r>
                  <w:r>
                    <w:rPr>
                      <w:rFonts w:hint="eastAsia"/>
                      <w:color w:val="auto"/>
                      <w:szCs w:val="21"/>
                      <w:vertAlign w:val="superscript"/>
                      <w:lang w:val="en-US" w:eastAsia="zh-CN"/>
                    </w:rPr>
                    <w:t>2</w:t>
                  </w:r>
                  <w:r>
                    <w:rPr>
                      <w:rFonts w:hint="eastAsia"/>
                      <w:color w:val="auto"/>
                      <w:szCs w:val="21"/>
                      <w:lang w:val="en-US" w:eastAsia="zh-CN"/>
                    </w:rPr>
                    <w:t>，平面尺寸4.8×3.3m，建筑高度3.3米，单层砖混结构</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restart"/>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公用工程</w:t>
                  </w: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食堂</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rPr>
                    <w:t>规格：单层砖混结构45.9m</w:t>
                  </w:r>
                  <w:r>
                    <w:rPr>
                      <w:rFonts w:ascii="Times New Roman" w:hAnsi="Times New Roman" w:eastAsia="宋体" w:cs="Times New Roman"/>
                      <w:color w:val="auto"/>
                      <w:szCs w:val="21"/>
                      <w:vertAlign w:val="superscript"/>
                    </w:rPr>
                    <w:t>2</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601" w:type="dxa"/>
                  <w:gridSpan w:val="3"/>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供电</w:t>
                  </w:r>
                </w:p>
              </w:tc>
              <w:tc>
                <w:tcPr>
                  <w:tcW w:w="4993" w:type="dxa"/>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由供电部门引入</w:t>
                  </w:r>
                  <w:r>
                    <w:rPr>
                      <w:rFonts w:ascii="Times New Roman" w:hAnsi="Times New Roman" w:eastAsia="宋体" w:cs="Times New Roman"/>
                      <w:color w:val="auto"/>
                      <w:spacing w:val="6"/>
                      <w:szCs w:val="21"/>
                      <w:lang w:val="en-US" w:eastAsia="zh-CN"/>
                    </w:rPr>
                    <w:t>10kV</w:t>
                  </w:r>
                  <w:r>
                    <w:rPr>
                      <w:rFonts w:hint="eastAsia" w:ascii="Times New Roman" w:hAnsi="Times New Roman" w:eastAsia="宋体" w:cs="Times New Roman"/>
                      <w:color w:val="auto"/>
                      <w:spacing w:val="6"/>
                      <w:szCs w:val="21"/>
                      <w:lang w:val="en-US" w:eastAsia="zh-CN"/>
                    </w:rPr>
                    <w:t>专线接入厂区内新建变电站</w:t>
                  </w:r>
                </w:p>
              </w:tc>
              <w:tc>
                <w:tcPr>
                  <w:tcW w:w="683" w:type="dxa"/>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供水</w:t>
                  </w:r>
                </w:p>
              </w:tc>
              <w:tc>
                <w:tcPr>
                  <w:tcW w:w="4993" w:type="dxa"/>
                  <w:tcBorders>
                    <w:tl2br w:val="nil"/>
                    <w:tr2bl w:val="nil"/>
                  </w:tcBorders>
                  <w:vAlign w:val="center"/>
                </w:tcPr>
                <w:p>
                  <w:pPr>
                    <w:widowControl/>
                    <w:spacing w:line="240" w:lineRule="auto"/>
                    <w:ind w:left="0" w:leftChars="0" w:right="0" w:rightChars="0" w:firstLine="0" w:firstLineChars="0"/>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引入县城自来水管网</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采暖</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办公房采用热泵型变制冷剂流量分体式空调系统，卫生间、泵房、综合间采用电暖气片采暖</w:t>
                  </w:r>
                </w:p>
              </w:tc>
              <w:tc>
                <w:tcPr>
                  <w:tcW w:w="68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restart"/>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bookmarkStart w:id="3" w:name="_Hlk10113003"/>
                  <w:r>
                    <w:rPr>
                      <w:rFonts w:ascii="Times New Roman" w:hAnsi="Times New Roman" w:eastAsia="宋体" w:cs="Times New Roman"/>
                      <w:color w:val="auto"/>
                      <w:spacing w:val="6"/>
                      <w:szCs w:val="21"/>
                    </w:rPr>
                    <w:t>环保工程</w:t>
                  </w: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废气治理</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设1套UV光解+活性炭吸附装置处理后经15m排气筒排放</w:t>
                  </w:r>
                </w:p>
              </w:tc>
              <w:tc>
                <w:tcPr>
                  <w:tcW w:w="683" w:type="dxa"/>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废水治理</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 xml:space="preserve">厂区废水处理工艺：预处理+ </w:t>
                  </w:r>
                  <w:r>
                    <w:rPr>
                      <w:rFonts w:hint="eastAsia" w:ascii="Times New Roman" w:hAnsi="Times New Roman" w:eastAsia="宋体" w:cs="Times New Roman"/>
                      <w:color w:val="auto"/>
                      <w:lang w:val="en-US" w:eastAsia="zh-CN"/>
                    </w:rPr>
                    <w:t>改良</w:t>
                  </w:r>
                  <w:r>
                    <w:rPr>
                      <w:rFonts w:ascii="Times New Roman" w:hAnsi="Times New Roman" w:eastAsia="宋体" w:cs="Times New Roman"/>
                      <w:color w:val="auto"/>
                    </w:rPr>
                    <w:t>A</w:t>
                  </w:r>
                  <w:r>
                    <w:rPr>
                      <w:rFonts w:ascii="Times New Roman" w:hAnsi="Times New Roman" w:eastAsia="宋体" w:cs="Times New Roman"/>
                      <w:color w:val="auto"/>
                      <w:sz w:val="22"/>
                      <w:szCs w:val="24"/>
                      <w:vertAlign w:val="superscript"/>
                    </w:rPr>
                    <w:t>2</w:t>
                  </w:r>
                  <w:r>
                    <w:rPr>
                      <w:rFonts w:ascii="Times New Roman" w:hAnsi="Times New Roman" w:eastAsia="宋体" w:cs="Times New Roman"/>
                      <w:color w:val="auto"/>
                    </w:rPr>
                    <w:t>O</w:t>
                  </w:r>
                  <w:r>
                    <w:rPr>
                      <w:rFonts w:hint="eastAsia" w:ascii="Times New Roman" w:hAnsi="Times New Roman" w:eastAsia="宋体" w:cs="Times New Roman"/>
                      <w:color w:val="auto"/>
                      <w:lang w:val="en-US" w:eastAsia="zh-CN"/>
                    </w:rPr>
                    <w:t>生物池+二沉池+高密度沉淀池</w:t>
                  </w:r>
                  <w:r>
                    <w:rPr>
                      <w:rFonts w:ascii="Times New Roman" w:hAnsi="Times New Roman" w:eastAsia="宋体" w:cs="Times New Roman"/>
                      <w:color w:val="auto"/>
                    </w:rPr>
                    <w:t>+</w:t>
                  </w:r>
                  <w:r>
                    <w:rPr>
                      <w:rFonts w:hint="eastAsia" w:ascii="Times New Roman" w:hAnsi="Times New Roman" w:eastAsia="宋体" w:cs="Times New Roman"/>
                      <w:color w:val="auto"/>
                      <w:lang w:val="en-US" w:eastAsia="zh-CN"/>
                    </w:rPr>
                    <w:t>V型</w:t>
                  </w:r>
                  <w:r>
                    <w:rPr>
                      <w:rFonts w:ascii="Times New Roman" w:hAnsi="Times New Roman" w:eastAsia="宋体" w:cs="Times New Roman"/>
                      <w:color w:val="auto"/>
                    </w:rPr>
                    <w:t>滤池工艺；尾水处理达标后排入北侧滹沱河</w:t>
                  </w:r>
                </w:p>
              </w:tc>
              <w:tc>
                <w:tcPr>
                  <w:tcW w:w="683" w:type="dxa"/>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spacing w:val="6"/>
                      <w:szCs w:val="21"/>
                    </w:rPr>
                    <w:t>新建</w:t>
                  </w:r>
                </w:p>
              </w:tc>
            </w:tr>
            <w:bookmarkEnd w:id="3"/>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防渗</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生化池、反硝化深床滤池、储泥池、污泥脱水间等重点防渗，等效粘土防渗层 Mb≥6.0m，</w:t>
                  </w:r>
                </w:p>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K≤10</w:t>
                  </w:r>
                  <w:r>
                    <w:rPr>
                      <w:rFonts w:ascii="Times New Roman" w:hAnsi="Times New Roman" w:eastAsia="宋体" w:cs="Times New Roman"/>
                      <w:color w:val="auto"/>
                      <w:vertAlign w:val="superscript"/>
                    </w:rPr>
                    <w:t>-7</w:t>
                  </w:r>
                  <w:r>
                    <w:rPr>
                      <w:rFonts w:ascii="Times New Roman" w:hAnsi="Times New Roman" w:eastAsia="宋体" w:cs="Times New Roman"/>
                      <w:color w:val="auto"/>
                    </w:rPr>
                    <w:t>cm/s；除臭设施一般防渗，等效粘土防渗层 Mb≥1.5m，K≤10</w:t>
                  </w:r>
                  <w:r>
                    <w:rPr>
                      <w:rFonts w:ascii="Times New Roman" w:hAnsi="Times New Roman" w:eastAsia="宋体" w:cs="Times New Roman"/>
                      <w:color w:val="auto"/>
                      <w:vertAlign w:val="superscript"/>
                    </w:rPr>
                    <w:t>-7</w:t>
                  </w:r>
                  <w:r>
                    <w:rPr>
                      <w:rFonts w:ascii="Times New Roman" w:hAnsi="Times New Roman" w:eastAsia="宋体" w:cs="Times New Roman"/>
                      <w:color w:val="auto"/>
                    </w:rPr>
                    <w:t>cm/s；厂区道路、停车场、绿化带、生产辅助用房等简单防渗，地面作一般硬化。</w:t>
                  </w:r>
                </w:p>
              </w:tc>
              <w:tc>
                <w:tcPr>
                  <w:tcW w:w="683" w:type="dxa"/>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1601" w:type="dxa"/>
                  <w:gridSpan w:val="3"/>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噪声治理</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选用低噪声设备，加强设备管理和维护；合理布置噪声源，远离附近敏感点；做好厂界绿化工作</w:t>
                  </w:r>
                </w:p>
              </w:tc>
              <w:tc>
                <w:tcPr>
                  <w:tcW w:w="683" w:type="dxa"/>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507" w:type="dxa"/>
                  <w:gridSpan w:val="2"/>
                  <w:vMerge w:val="restart"/>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固废治理</w:t>
                  </w:r>
                </w:p>
              </w:tc>
              <w:tc>
                <w:tcPr>
                  <w:tcW w:w="1094"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栅渣及沉沙</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收集后委托环卫部门定期清运</w:t>
                  </w:r>
                </w:p>
              </w:tc>
              <w:tc>
                <w:tcPr>
                  <w:tcW w:w="683" w:type="dxa"/>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507" w:type="dxa"/>
                  <w:gridSpan w:val="2"/>
                  <w:vMerge w:val="continue"/>
                  <w:tcBorders>
                    <w:tl2br w:val="nil"/>
                    <w:tr2bl w:val="nil"/>
                  </w:tcBorders>
                  <w:vAlign w:val="top"/>
                </w:tcPr>
                <w:p>
                  <w:pPr>
                    <w:widowControl/>
                    <w:spacing w:line="240" w:lineRule="auto"/>
                    <w:ind w:left="0" w:leftChars="0" w:right="0" w:rightChars="0" w:firstLine="0" w:firstLineChars="0"/>
                    <w:jc w:val="left"/>
                    <w:rPr>
                      <w:rFonts w:ascii="Times New Roman" w:hAnsi="Times New Roman" w:eastAsia="宋体" w:cs="Times New Roman"/>
                      <w:color w:val="auto"/>
                    </w:rPr>
                  </w:pPr>
                </w:p>
              </w:tc>
              <w:tc>
                <w:tcPr>
                  <w:tcW w:w="1094"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污泥</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收集后委托有资质的单位处置</w:t>
                  </w:r>
                </w:p>
              </w:tc>
              <w:tc>
                <w:tcPr>
                  <w:tcW w:w="683" w:type="dxa"/>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507" w:type="dxa"/>
                  <w:gridSpan w:val="2"/>
                  <w:vMerge w:val="continue"/>
                  <w:tcBorders>
                    <w:tl2br w:val="nil"/>
                    <w:tr2bl w:val="nil"/>
                  </w:tcBorders>
                  <w:vAlign w:val="top"/>
                </w:tcPr>
                <w:p>
                  <w:pPr>
                    <w:widowControl/>
                    <w:spacing w:line="240" w:lineRule="auto"/>
                    <w:ind w:left="0" w:leftChars="0" w:right="0" w:rightChars="0" w:firstLine="0" w:firstLineChars="0"/>
                    <w:jc w:val="left"/>
                    <w:rPr>
                      <w:rFonts w:ascii="Times New Roman" w:hAnsi="Times New Roman" w:eastAsia="宋体" w:cs="Times New Roman"/>
                      <w:color w:val="auto"/>
                    </w:rPr>
                  </w:pPr>
                </w:p>
              </w:tc>
              <w:tc>
                <w:tcPr>
                  <w:tcW w:w="1094"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生活垃圾</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收集后委托环卫部门定期清运</w:t>
                  </w:r>
                </w:p>
              </w:tc>
              <w:tc>
                <w:tcPr>
                  <w:tcW w:w="683" w:type="dxa"/>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507" w:type="dxa"/>
                  <w:gridSpan w:val="2"/>
                  <w:vMerge w:val="continue"/>
                  <w:tcBorders>
                    <w:tl2br w:val="nil"/>
                    <w:tr2bl w:val="nil"/>
                  </w:tcBorders>
                  <w:vAlign w:val="top"/>
                </w:tcPr>
                <w:p>
                  <w:pPr>
                    <w:widowControl/>
                    <w:spacing w:line="240" w:lineRule="auto"/>
                    <w:ind w:left="0" w:leftChars="0" w:right="0" w:rightChars="0" w:firstLine="0" w:firstLineChars="0"/>
                    <w:jc w:val="left"/>
                    <w:rPr>
                      <w:rFonts w:ascii="Times New Roman" w:hAnsi="Times New Roman" w:eastAsia="宋体" w:cs="Times New Roman"/>
                      <w:color w:val="auto"/>
                    </w:rPr>
                  </w:pPr>
                </w:p>
              </w:tc>
              <w:tc>
                <w:tcPr>
                  <w:tcW w:w="1094" w:type="dxa"/>
                  <w:tcBorders>
                    <w:tl2br w:val="nil"/>
                    <w:tr2bl w:val="nil"/>
                  </w:tcBorders>
                  <w:vAlign w:val="center"/>
                </w:tcPr>
                <w:p>
                  <w:pPr>
                    <w:widowControl/>
                    <w:spacing w:line="240" w:lineRule="auto"/>
                    <w:ind w:left="0" w:leftChars="0" w:right="0" w:rightChars="0" w:firstLine="0" w:firstLineChars="0"/>
                    <w:jc w:val="center"/>
                    <w:rPr>
                      <w:rFonts w:hint="eastAsia" w:ascii="宋体" w:hAnsi="宋体" w:eastAsia="宋体" w:cs="宋体"/>
                      <w:color w:val="auto"/>
                    </w:rPr>
                  </w:pPr>
                  <w:r>
                    <w:rPr>
                      <w:rFonts w:hint="eastAsia" w:ascii="宋体" w:hAnsi="宋体" w:eastAsia="宋体" w:cs="宋体"/>
                      <w:color w:val="auto"/>
                    </w:rPr>
                    <w:t>废包装材料</w:t>
                  </w:r>
                </w:p>
              </w:tc>
              <w:tc>
                <w:tcPr>
                  <w:tcW w:w="4993" w:type="dxa"/>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收集后委托物资单位综合利用</w:t>
                  </w:r>
                </w:p>
              </w:tc>
              <w:tc>
                <w:tcPr>
                  <w:tcW w:w="683" w:type="dxa"/>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507" w:type="dxa"/>
                  <w:gridSpan w:val="2"/>
                  <w:vMerge w:val="continue"/>
                  <w:tcBorders>
                    <w:tl2br w:val="nil"/>
                    <w:tr2bl w:val="nil"/>
                  </w:tcBorders>
                  <w:vAlign w:val="top"/>
                </w:tcPr>
                <w:p>
                  <w:pPr>
                    <w:widowControl/>
                    <w:spacing w:line="240" w:lineRule="auto"/>
                    <w:ind w:left="0" w:leftChars="0" w:right="0" w:rightChars="0" w:firstLine="0" w:firstLineChars="0"/>
                    <w:jc w:val="left"/>
                    <w:rPr>
                      <w:rFonts w:ascii="Times New Roman" w:hAnsi="Times New Roman" w:eastAsia="宋体" w:cs="Times New Roman"/>
                      <w:color w:val="auto"/>
                    </w:rPr>
                  </w:pPr>
                </w:p>
              </w:tc>
              <w:tc>
                <w:tcPr>
                  <w:tcW w:w="109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eastAsia" w:ascii="宋体" w:hAnsi="宋体" w:eastAsia="宋体" w:cs="宋体"/>
                      <w:iCs/>
                      <w:color w:val="auto"/>
                      <w:sz w:val="21"/>
                      <w:szCs w:val="21"/>
                      <w:lang w:val="en-US" w:eastAsia="zh-CN"/>
                    </w:rPr>
                  </w:pPr>
                  <w:r>
                    <w:rPr>
                      <w:rFonts w:hint="eastAsia" w:ascii="宋体" w:hAnsi="宋体" w:eastAsia="宋体" w:cs="宋体"/>
                      <w:iCs/>
                      <w:color w:val="auto"/>
                      <w:sz w:val="21"/>
                      <w:szCs w:val="21"/>
                      <w:lang w:val="en-US" w:eastAsia="zh-CN"/>
                    </w:rPr>
                    <w:t>废机油</w:t>
                  </w:r>
                </w:p>
              </w:tc>
              <w:tc>
                <w:tcPr>
                  <w:tcW w:w="4993" w:type="dxa"/>
                  <w:vMerge w:val="restart"/>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r>
                    <w:rPr>
                      <w:rFonts w:hint="default" w:ascii="Times New Roman" w:hAnsi="Times New Roman" w:eastAsia="宋体" w:cs="Times New Roman"/>
                      <w:iCs/>
                      <w:color w:val="auto"/>
                      <w:sz w:val="21"/>
                      <w:szCs w:val="21"/>
                      <w:lang w:eastAsia="zh-CN"/>
                    </w:rPr>
                    <w:t>厂区危险废物暂存间暂存，</w:t>
                  </w:r>
                  <w:r>
                    <w:rPr>
                      <w:rFonts w:hint="default" w:ascii="Times New Roman" w:hAnsi="Times New Roman" w:eastAsia="宋体" w:cs="Times New Roman"/>
                      <w:iCs/>
                      <w:color w:val="auto"/>
                      <w:sz w:val="21"/>
                      <w:szCs w:val="21"/>
                      <w:lang w:val="en-US" w:eastAsia="zh-CN"/>
                    </w:rPr>
                    <w:t>定期</w:t>
                  </w:r>
                  <w:r>
                    <w:rPr>
                      <w:rFonts w:hint="default" w:ascii="Times New Roman" w:hAnsi="Times New Roman" w:eastAsia="宋体" w:cs="Times New Roman"/>
                      <w:iCs/>
                      <w:color w:val="auto"/>
                      <w:sz w:val="21"/>
                      <w:szCs w:val="21"/>
                      <w:lang w:eastAsia="zh-CN"/>
                    </w:rPr>
                    <w:t>委托有资质的单位处置</w:t>
                  </w:r>
                </w:p>
              </w:tc>
              <w:tc>
                <w:tcPr>
                  <w:tcW w:w="683" w:type="dxa"/>
                  <w:vMerge w:val="restart"/>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r>
                    <w:rPr>
                      <w:rFonts w:ascii="Times New Roman" w:hAnsi="Times New Roman" w:eastAsia="宋体" w:cs="Times New Roman"/>
                      <w:color w:val="auto"/>
                      <w:spacing w:val="6"/>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507" w:type="dxa"/>
                  <w:gridSpan w:val="2"/>
                  <w:vMerge w:val="continue"/>
                  <w:tcBorders>
                    <w:tl2br w:val="nil"/>
                    <w:tr2bl w:val="nil"/>
                  </w:tcBorders>
                  <w:vAlign w:val="top"/>
                </w:tcPr>
                <w:p>
                  <w:pPr>
                    <w:widowControl/>
                    <w:spacing w:line="240" w:lineRule="auto"/>
                    <w:ind w:left="0" w:leftChars="0" w:right="0" w:rightChars="0" w:firstLine="0" w:firstLineChars="0"/>
                    <w:jc w:val="left"/>
                    <w:rPr>
                      <w:rFonts w:ascii="Times New Roman" w:hAnsi="Times New Roman" w:eastAsia="宋体" w:cs="Times New Roman"/>
                      <w:color w:val="auto"/>
                    </w:rPr>
                  </w:pPr>
                </w:p>
              </w:tc>
              <w:tc>
                <w:tcPr>
                  <w:tcW w:w="109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eastAsia" w:ascii="宋体" w:hAnsi="宋体" w:eastAsia="宋体" w:cs="宋体"/>
                      <w:color w:val="auto"/>
                    </w:rPr>
                  </w:pPr>
                  <w:r>
                    <w:rPr>
                      <w:rFonts w:hint="eastAsia" w:ascii="宋体" w:hAnsi="宋体" w:eastAsia="宋体" w:cs="宋体"/>
                      <w:iCs/>
                      <w:color w:val="auto"/>
                      <w:sz w:val="21"/>
                      <w:szCs w:val="21"/>
                      <w:lang w:val="en-US" w:eastAsia="zh-CN"/>
                    </w:rPr>
                    <w:t>废活性炭</w:t>
                  </w:r>
                </w:p>
              </w:tc>
              <w:tc>
                <w:tcPr>
                  <w:tcW w:w="499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p>
              </w:tc>
              <w:tc>
                <w:tcPr>
                  <w:tcW w:w="683" w:type="dxa"/>
                  <w:vMerge w:val="continue"/>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507" w:type="dxa"/>
                  <w:gridSpan w:val="2"/>
                  <w:vMerge w:val="continue"/>
                  <w:tcBorders>
                    <w:tl2br w:val="nil"/>
                    <w:tr2bl w:val="nil"/>
                  </w:tcBorders>
                  <w:vAlign w:val="top"/>
                </w:tcPr>
                <w:p>
                  <w:pPr>
                    <w:widowControl/>
                    <w:spacing w:line="240" w:lineRule="auto"/>
                    <w:ind w:left="0" w:leftChars="0" w:right="0" w:rightChars="0" w:firstLine="0" w:firstLineChars="0"/>
                    <w:jc w:val="left"/>
                    <w:rPr>
                      <w:rFonts w:ascii="Times New Roman" w:hAnsi="Times New Roman" w:eastAsia="宋体" w:cs="Times New Roman"/>
                      <w:color w:val="auto"/>
                    </w:rPr>
                  </w:pPr>
                </w:p>
              </w:tc>
              <w:tc>
                <w:tcPr>
                  <w:tcW w:w="109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eastAsia" w:ascii="宋体" w:hAnsi="宋体" w:eastAsia="宋体" w:cs="宋体"/>
                      <w:iCs/>
                      <w:color w:val="auto"/>
                      <w:sz w:val="21"/>
                      <w:szCs w:val="21"/>
                      <w:lang w:val="en-US" w:eastAsia="zh-CN"/>
                    </w:rPr>
                  </w:pPr>
                  <w:r>
                    <w:rPr>
                      <w:rFonts w:hint="eastAsia" w:ascii="宋体" w:hAnsi="宋体" w:eastAsia="宋体" w:cs="宋体"/>
                      <w:iCs/>
                      <w:color w:val="auto"/>
                      <w:sz w:val="21"/>
                      <w:szCs w:val="21"/>
                      <w:lang w:val="en-US" w:eastAsia="zh-CN"/>
                    </w:rPr>
                    <w:t>废紫外线灯管</w:t>
                  </w:r>
                </w:p>
              </w:tc>
              <w:tc>
                <w:tcPr>
                  <w:tcW w:w="499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p>
              </w:tc>
              <w:tc>
                <w:tcPr>
                  <w:tcW w:w="683" w:type="dxa"/>
                  <w:vMerge w:val="continue"/>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jc w:val="center"/>
              </w:trPr>
              <w:tc>
                <w:tcPr>
                  <w:tcW w:w="81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spacing w:val="6"/>
                      <w:szCs w:val="21"/>
                    </w:rPr>
                  </w:pPr>
                </w:p>
              </w:tc>
              <w:tc>
                <w:tcPr>
                  <w:tcW w:w="507" w:type="dxa"/>
                  <w:gridSpan w:val="2"/>
                  <w:vMerge w:val="continue"/>
                  <w:tcBorders>
                    <w:tl2br w:val="nil"/>
                    <w:tr2bl w:val="nil"/>
                  </w:tcBorders>
                  <w:vAlign w:val="top"/>
                </w:tcPr>
                <w:p>
                  <w:pPr>
                    <w:widowControl/>
                    <w:spacing w:line="240" w:lineRule="auto"/>
                    <w:ind w:left="0" w:leftChars="0" w:right="0" w:rightChars="0" w:firstLine="0" w:firstLineChars="0"/>
                    <w:jc w:val="left"/>
                    <w:rPr>
                      <w:rFonts w:ascii="Times New Roman" w:hAnsi="Times New Roman" w:eastAsia="宋体" w:cs="Times New Roman"/>
                      <w:color w:val="auto"/>
                    </w:rPr>
                  </w:pPr>
                </w:p>
              </w:tc>
              <w:tc>
                <w:tcPr>
                  <w:tcW w:w="1094" w:type="dxa"/>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baseline"/>
                    <w:rPr>
                      <w:rFonts w:hint="eastAsia" w:ascii="宋体" w:hAnsi="宋体" w:eastAsia="宋体" w:cs="宋体"/>
                      <w:color w:val="auto"/>
                      <w:lang w:val="en-US"/>
                    </w:rPr>
                  </w:pPr>
                  <w:r>
                    <w:rPr>
                      <w:rFonts w:hint="eastAsia" w:ascii="宋体" w:hAnsi="宋体" w:eastAsia="宋体" w:cs="宋体"/>
                      <w:iCs/>
                      <w:color w:val="auto"/>
                      <w:sz w:val="21"/>
                      <w:szCs w:val="21"/>
                      <w:lang w:val="en-US" w:eastAsia="zh-CN"/>
                    </w:rPr>
                    <w:t>化验药剂废包装</w:t>
                  </w:r>
                </w:p>
              </w:tc>
              <w:tc>
                <w:tcPr>
                  <w:tcW w:w="4993" w:type="dxa"/>
                  <w:vMerge w:val="continue"/>
                  <w:tcBorders>
                    <w:tl2br w:val="nil"/>
                    <w:tr2bl w:val="nil"/>
                  </w:tcBorders>
                  <w:vAlign w:val="center"/>
                </w:tcPr>
                <w:p>
                  <w:pPr>
                    <w:widowControl/>
                    <w:spacing w:line="240" w:lineRule="auto"/>
                    <w:ind w:left="0" w:leftChars="0" w:right="0" w:rightChars="0" w:firstLine="0" w:firstLineChars="0"/>
                    <w:jc w:val="center"/>
                    <w:rPr>
                      <w:rFonts w:ascii="Times New Roman" w:hAnsi="Times New Roman" w:eastAsia="宋体" w:cs="Times New Roman"/>
                      <w:color w:val="auto"/>
                    </w:rPr>
                  </w:pPr>
                </w:p>
              </w:tc>
              <w:tc>
                <w:tcPr>
                  <w:tcW w:w="683" w:type="dxa"/>
                  <w:vMerge w:val="continue"/>
                  <w:tcBorders>
                    <w:tl2br w:val="nil"/>
                    <w:tr2bl w:val="nil"/>
                  </w:tcBorders>
                  <w:vAlign w:val="center"/>
                </w:tcPr>
                <w:p>
                  <w:pPr>
                    <w:spacing w:line="240" w:lineRule="auto"/>
                    <w:ind w:left="0" w:leftChars="0" w:right="0" w:rightChars="0" w:firstLine="0" w:firstLineChars="0"/>
                    <w:jc w:val="center"/>
                    <w:rPr>
                      <w:rFonts w:ascii="Times New Roman" w:hAnsi="Times New Roman" w:eastAsia="宋体" w:cs="Times New Roman"/>
                      <w:color w:val="auto"/>
                      <w:spacing w:val="6"/>
                      <w:szCs w:val="21"/>
                    </w:rPr>
                  </w:pPr>
                </w:p>
              </w:tc>
            </w:tr>
          </w:tbl>
          <w:p>
            <w:pPr>
              <w:adjustRightInd w:val="0"/>
              <w:snapToGrid w:val="0"/>
              <w:spacing w:line="360" w:lineRule="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2.2</w:t>
            </w:r>
            <w:r>
              <w:rPr>
                <w:rFonts w:hint="eastAsia" w:ascii="Times New Roman" w:hAnsi="Times New Roman" w:eastAsia="宋体" w:cs="Times New Roman"/>
                <w:b/>
                <w:bCs/>
                <w:color w:val="auto"/>
                <w:sz w:val="24"/>
                <w:szCs w:val="24"/>
              </w:rPr>
              <w:t>主要设备及建构筑物</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根据本项目</w:t>
            </w:r>
            <w:r>
              <w:rPr>
                <w:rFonts w:hint="eastAsia" w:ascii="Times New Roman" w:hAnsi="Times New Roman" w:eastAsia="宋体" w:cs="Times New Roman"/>
                <w:color w:val="auto"/>
                <w:sz w:val="24"/>
                <w:szCs w:val="24"/>
              </w:rPr>
              <w:t>可行性研究报告</w:t>
            </w:r>
            <w:r>
              <w:rPr>
                <w:rFonts w:ascii="Times New Roman" w:hAnsi="Times New Roman" w:eastAsia="宋体" w:cs="Times New Roman"/>
                <w:color w:val="auto"/>
                <w:sz w:val="24"/>
                <w:szCs w:val="24"/>
              </w:rPr>
              <w:t>，本项目污水处理厂</w:t>
            </w:r>
            <w:r>
              <w:rPr>
                <w:rFonts w:hint="eastAsia" w:ascii="Times New Roman" w:hAnsi="Times New Roman" w:eastAsia="宋体" w:cs="Times New Roman"/>
                <w:color w:val="auto"/>
                <w:sz w:val="24"/>
                <w:szCs w:val="24"/>
              </w:rPr>
              <w:t>主要建构筑物</w:t>
            </w:r>
            <w:r>
              <w:rPr>
                <w:rFonts w:ascii="Times New Roman" w:hAnsi="Times New Roman" w:eastAsia="宋体" w:cs="Times New Roman"/>
                <w:color w:val="auto"/>
                <w:sz w:val="24"/>
                <w:szCs w:val="24"/>
              </w:rPr>
              <w:t>见表2-2，主要设备见表2-3。</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表2-2  主要建构筑物工程量一览表</w:t>
            </w:r>
          </w:p>
          <w:tbl>
            <w:tblPr>
              <w:tblStyle w:val="24"/>
              <w:tblW w:w="809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534"/>
              <w:gridCol w:w="2831"/>
              <w:gridCol w:w="1256"/>
              <w:gridCol w:w="18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19"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序号</w:t>
                  </w:r>
                </w:p>
              </w:tc>
              <w:tc>
                <w:tcPr>
                  <w:tcW w:w="1534"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建构筑物名称</w:t>
                  </w:r>
                </w:p>
              </w:tc>
              <w:tc>
                <w:tcPr>
                  <w:tcW w:w="2831"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单座规格</w:t>
                  </w:r>
                </w:p>
              </w:tc>
              <w:tc>
                <w:tcPr>
                  <w:tcW w:w="1256"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数量</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19"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rPr>
                    <w:t>一</w:t>
                  </w:r>
                </w:p>
              </w:tc>
              <w:tc>
                <w:tcPr>
                  <w:tcW w:w="7471" w:type="dxa"/>
                  <w:gridSpan w:val="4"/>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pacing w:val="6"/>
                      <w:szCs w:val="21"/>
                    </w:rPr>
                  </w:pPr>
                  <w:r>
                    <w:rPr>
                      <w:rFonts w:hint="eastAsia" w:ascii="Times New Roman" w:hAnsi="Times New Roman" w:eastAsia="宋体" w:cs="Times New Roman"/>
                      <w:color w:val="auto"/>
                      <w:spacing w:val="6"/>
                      <w:szCs w:val="21"/>
                      <w:lang w:val="en-US" w:eastAsia="zh-CN"/>
                    </w:rPr>
                    <w:t>预</w:t>
                  </w:r>
                  <w:r>
                    <w:rPr>
                      <w:rFonts w:hint="eastAsia" w:ascii="Times New Roman" w:hAnsi="Times New Roman" w:eastAsia="宋体" w:cs="Times New Roman"/>
                      <w:color w:val="auto"/>
                      <w:spacing w:val="6"/>
                      <w:szCs w:val="21"/>
                    </w:rPr>
                    <w:t>处理设施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19"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1534"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粗格栅及进水泵房</w:t>
                  </w:r>
                </w:p>
              </w:tc>
              <w:tc>
                <w:tcPr>
                  <w:tcW w:w="2831"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pacing w:val="6"/>
                      <w:szCs w:val="21"/>
                      <w:lang w:val="en-US" w:eastAsia="zh-CN"/>
                    </w:rPr>
                    <w:t>19</w:t>
                  </w:r>
                  <w:r>
                    <w:rPr>
                      <w:rFonts w:ascii="Times New Roman" w:hAnsi="Times New Roman" w:eastAsia="宋体" w:cs="Times New Roman"/>
                      <w:color w:val="auto"/>
                      <w:spacing w:val="6"/>
                      <w:szCs w:val="21"/>
                    </w:rPr>
                    <w:t>.6m×</w:t>
                  </w:r>
                  <w:r>
                    <w:rPr>
                      <w:rFonts w:hint="eastAsia" w:ascii="Times New Roman" w:hAnsi="Times New Roman" w:eastAsia="宋体" w:cs="Times New Roman"/>
                      <w:color w:val="auto"/>
                      <w:spacing w:val="6"/>
                      <w:szCs w:val="21"/>
                      <w:lang w:val="en-US" w:eastAsia="zh-CN"/>
                    </w:rPr>
                    <w:t>10</w:t>
                  </w:r>
                  <w:r>
                    <w:rPr>
                      <w:rFonts w:ascii="Times New Roman" w:hAnsi="Times New Roman" w:eastAsia="宋体" w:cs="Times New Roman"/>
                      <w:color w:val="auto"/>
                      <w:spacing w:val="6"/>
                      <w:szCs w:val="21"/>
                    </w:rPr>
                    <w:t>m×</w:t>
                  </w:r>
                  <w:r>
                    <w:rPr>
                      <w:rFonts w:hint="eastAsia" w:ascii="Times New Roman" w:hAnsi="Times New Roman" w:eastAsia="宋体" w:cs="Times New Roman"/>
                      <w:color w:val="auto"/>
                      <w:spacing w:val="6"/>
                      <w:szCs w:val="21"/>
                      <w:lang w:val="en-US" w:eastAsia="zh-CN"/>
                    </w:rPr>
                    <w:t>4.2</w:t>
                  </w:r>
                  <w:r>
                    <w:rPr>
                      <w:rFonts w:ascii="Times New Roman" w:hAnsi="Times New Roman" w:eastAsia="宋体" w:cs="Times New Roman"/>
                      <w:color w:val="auto"/>
                      <w:spacing w:val="6"/>
                      <w:szCs w:val="21"/>
                    </w:rPr>
                    <w:t>m</w:t>
                  </w:r>
                </w:p>
              </w:tc>
              <w:tc>
                <w:tcPr>
                  <w:tcW w:w="1256"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1间</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pacing w:val="6"/>
                      <w:szCs w:val="21"/>
                      <w:lang w:val="en-US" w:eastAsia="zh-CN"/>
                    </w:rPr>
                    <w:t>轻钢</w:t>
                  </w:r>
                  <w:r>
                    <w:rPr>
                      <w:rFonts w:ascii="Times New Roman" w:hAnsi="Times New Roman" w:eastAsia="宋体" w:cs="Times New Roman"/>
                      <w:color w:val="auto"/>
                      <w:spacing w:val="6"/>
                      <w:szCs w:val="21"/>
                    </w:rPr>
                    <w:t>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19"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153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粗格栅渠</w:t>
                  </w:r>
                </w:p>
              </w:tc>
              <w:tc>
                <w:tcPr>
                  <w:tcW w:w="2831"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pacing w:val="6"/>
                      <w:szCs w:val="21"/>
                      <w:lang w:val="en-US" w:eastAsia="zh-CN"/>
                    </w:rPr>
                    <w:t>10.5</w:t>
                  </w:r>
                  <w:r>
                    <w:rPr>
                      <w:rFonts w:ascii="Times New Roman" w:hAnsi="Times New Roman" w:eastAsia="宋体" w:cs="Times New Roman"/>
                      <w:color w:val="auto"/>
                      <w:spacing w:val="6"/>
                      <w:szCs w:val="21"/>
                    </w:rPr>
                    <w:t>m×</w:t>
                  </w:r>
                  <w:r>
                    <w:rPr>
                      <w:rFonts w:hint="eastAsia" w:ascii="Times New Roman" w:hAnsi="Times New Roman" w:eastAsia="宋体" w:cs="Times New Roman"/>
                      <w:color w:val="auto"/>
                      <w:spacing w:val="6"/>
                      <w:szCs w:val="21"/>
                      <w:lang w:val="en-US" w:eastAsia="zh-CN"/>
                    </w:rPr>
                    <w:t>4.9</w:t>
                  </w:r>
                  <w:r>
                    <w:rPr>
                      <w:rFonts w:ascii="Times New Roman" w:hAnsi="Times New Roman" w:eastAsia="宋体" w:cs="Times New Roman"/>
                      <w:color w:val="auto"/>
                      <w:spacing w:val="6"/>
                      <w:szCs w:val="21"/>
                    </w:rPr>
                    <w:t>m×</w:t>
                  </w:r>
                  <w:r>
                    <w:rPr>
                      <w:rFonts w:hint="eastAsia" w:ascii="Times New Roman" w:hAnsi="Times New Roman" w:eastAsia="宋体" w:cs="Times New Roman"/>
                      <w:color w:val="auto"/>
                      <w:spacing w:val="6"/>
                      <w:szCs w:val="21"/>
                      <w:lang w:val="en-US" w:eastAsia="zh-CN"/>
                    </w:rPr>
                    <w:t>5.1</w:t>
                  </w:r>
                  <w:r>
                    <w:rPr>
                      <w:rFonts w:ascii="Times New Roman" w:hAnsi="Times New Roman" w:eastAsia="宋体" w:cs="Times New Roman"/>
                      <w:color w:val="auto"/>
                      <w:spacing w:val="6"/>
                      <w:szCs w:val="21"/>
                    </w:rPr>
                    <w:t>m</w:t>
                  </w:r>
                </w:p>
              </w:tc>
              <w:tc>
                <w:tcPr>
                  <w:tcW w:w="1256"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2格</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19"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3</w:t>
                  </w:r>
                </w:p>
              </w:tc>
              <w:tc>
                <w:tcPr>
                  <w:tcW w:w="153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细格栅站</w:t>
                  </w:r>
                </w:p>
              </w:tc>
              <w:tc>
                <w:tcPr>
                  <w:tcW w:w="2831"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pacing w:val="6"/>
                      <w:szCs w:val="21"/>
                      <w:lang w:val="en-US" w:eastAsia="zh-CN"/>
                    </w:rPr>
                    <w:t>13</w:t>
                  </w:r>
                  <w:r>
                    <w:rPr>
                      <w:rFonts w:ascii="Times New Roman" w:hAnsi="Times New Roman" w:eastAsia="宋体" w:cs="Times New Roman"/>
                      <w:color w:val="auto"/>
                      <w:spacing w:val="6"/>
                      <w:szCs w:val="21"/>
                    </w:rPr>
                    <w:t>m×</w:t>
                  </w:r>
                  <w:r>
                    <w:rPr>
                      <w:rFonts w:hint="eastAsia" w:ascii="Times New Roman" w:hAnsi="Times New Roman" w:eastAsia="宋体" w:cs="Times New Roman"/>
                      <w:color w:val="auto"/>
                      <w:spacing w:val="6"/>
                      <w:szCs w:val="21"/>
                      <w:lang w:val="en-US" w:eastAsia="zh-CN"/>
                    </w:rPr>
                    <w:t>3.4</w:t>
                  </w:r>
                  <w:r>
                    <w:rPr>
                      <w:rFonts w:ascii="Times New Roman" w:hAnsi="Times New Roman" w:eastAsia="宋体" w:cs="Times New Roman"/>
                      <w:color w:val="auto"/>
                      <w:spacing w:val="6"/>
                      <w:szCs w:val="21"/>
                    </w:rPr>
                    <w:t>m×</w:t>
                  </w:r>
                  <w:r>
                    <w:rPr>
                      <w:rFonts w:hint="eastAsia" w:ascii="Times New Roman" w:hAnsi="Times New Roman" w:eastAsia="宋体" w:cs="Times New Roman"/>
                      <w:color w:val="auto"/>
                      <w:spacing w:val="6"/>
                      <w:szCs w:val="21"/>
                      <w:lang w:val="en-US" w:eastAsia="zh-CN"/>
                    </w:rPr>
                    <w:t>1.7</w:t>
                  </w:r>
                  <w:r>
                    <w:rPr>
                      <w:rFonts w:ascii="Times New Roman" w:hAnsi="Times New Roman" w:eastAsia="宋体" w:cs="Times New Roman"/>
                      <w:color w:val="auto"/>
                      <w:spacing w:val="6"/>
                      <w:szCs w:val="21"/>
                    </w:rPr>
                    <w:t>m</w:t>
                  </w:r>
                </w:p>
              </w:tc>
              <w:tc>
                <w:tcPr>
                  <w:tcW w:w="1256"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eastAsia="宋体"/>
                      <w:color w:val="auto"/>
                      <w:w w:val="99"/>
                      <w:sz w:val="21"/>
                      <w:szCs w:val="21"/>
                    </w:rPr>
                  </w:pPr>
                  <w:r>
                    <w:rPr>
                      <w:rFonts w:hint="eastAsia" w:ascii="Times New Roman" w:hAnsi="Times New Roman" w:eastAsia="宋体" w:cs="Times New Roman"/>
                      <w:color w:val="auto"/>
                      <w:szCs w:val="21"/>
                      <w:lang w:val="en-US" w:eastAsia="zh-CN"/>
                    </w:rPr>
                    <w:t>4</w:t>
                  </w:r>
                </w:p>
              </w:tc>
              <w:tc>
                <w:tcPr>
                  <w:tcW w:w="1534" w:type="dxa"/>
                  <w:tcBorders>
                    <w:tl2br w:val="nil"/>
                    <w:tr2bl w:val="nil"/>
                  </w:tcBorders>
                  <w:vAlign w:val="center"/>
                </w:tcPr>
                <w:p>
                  <w:pPr>
                    <w:pStyle w:val="41"/>
                    <w:snapToGrid w:val="0"/>
                    <w:jc w:val="center"/>
                    <w:rPr>
                      <w:rFonts w:eastAsia="宋体"/>
                      <w:color w:val="auto"/>
                      <w:sz w:val="21"/>
                      <w:szCs w:val="21"/>
                    </w:rPr>
                  </w:pPr>
                  <w:r>
                    <w:rPr>
                      <w:rFonts w:eastAsia="宋体"/>
                      <w:color w:val="auto"/>
                      <w:sz w:val="21"/>
                      <w:szCs w:val="21"/>
                    </w:rPr>
                    <w:t>曝气沉砂池</w:t>
                  </w:r>
                </w:p>
              </w:tc>
              <w:tc>
                <w:tcPr>
                  <w:tcW w:w="2831" w:type="dxa"/>
                  <w:tcBorders>
                    <w:tl2br w:val="nil"/>
                    <w:tr2bl w:val="nil"/>
                  </w:tcBorders>
                  <w:vAlign w:val="center"/>
                </w:tcPr>
                <w:p>
                  <w:pPr>
                    <w:pStyle w:val="41"/>
                    <w:snapToGrid w:val="0"/>
                    <w:jc w:val="center"/>
                    <w:rPr>
                      <w:rFonts w:eastAsia="宋体"/>
                      <w:color w:val="auto"/>
                      <w:sz w:val="21"/>
                      <w:szCs w:val="21"/>
                    </w:rPr>
                  </w:pPr>
                  <w:r>
                    <w:rPr>
                      <w:rFonts w:hint="eastAsia" w:eastAsia="宋体"/>
                      <w:color w:val="auto"/>
                      <w:spacing w:val="6"/>
                      <w:sz w:val="21"/>
                      <w:szCs w:val="21"/>
                      <w:lang w:val="en-US" w:eastAsia="zh-CN"/>
                    </w:rPr>
                    <w:t>20</w:t>
                  </w:r>
                  <w:r>
                    <w:rPr>
                      <w:rFonts w:eastAsia="宋体"/>
                      <w:color w:val="auto"/>
                      <w:spacing w:val="6"/>
                      <w:sz w:val="21"/>
                      <w:szCs w:val="21"/>
                    </w:rPr>
                    <w:t>m×</w:t>
                  </w:r>
                  <w:r>
                    <w:rPr>
                      <w:rFonts w:hint="eastAsia" w:eastAsia="宋体"/>
                      <w:color w:val="auto"/>
                      <w:spacing w:val="6"/>
                      <w:sz w:val="21"/>
                      <w:szCs w:val="21"/>
                      <w:lang w:val="en-US" w:eastAsia="zh-CN"/>
                    </w:rPr>
                    <w:t>10</w:t>
                  </w:r>
                  <w:r>
                    <w:rPr>
                      <w:rFonts w:eastAsia="宋体"/>
                      <w:color w:val="auto"/>
                      <w:spacing w:val="6"/>
                      <w:sz w:val="21"/>
                      <w:szCs w:val="21"/>
                    </w:rPr>
                    <w:t>m×3.</w:t>
                  </w:r>
                  <w:r>
                    <w:rPr>
                      <w:rFonts w:hint="eastAsia" w:eastAsia="宋体"/>
                      <w:color w:val="auto"/>
                      <w:spacing w:val="6"/>
                      <w:sz w:val="21"/>
                      <w:szCs w:val="21"/>
                      <w:lang w:val="en-US" w:eastAsia="zh-CN"/>
                    </w:rPr>
                    <w:t>9</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eastAsia="宋体"/>
                      <w:color w:val="auto"/>
                      <w:sz w:val="21"/>
                      <w:szCs w:val="21"/>
                    </w:rPr>
                  </w:pPr>
                  <w:r>
                    <w:rPr>
                      <w:rFonts w:hint="eastAsia" w:eastAsia="宋体"/>
                      <w:color w:val="auto"/>
                      <w:sz w:val="21"/>
                      <w:szCs w:val="21"/>
                      <w:lang w:val="en-US" w:eastAsia="zh-CN"/>
                    </w:rPr>
                    <w:t>1</w:t>
                  </w:r>
                  <w:r>
                    <w:rPr>
                      <w:rFonts w:eastAsia="宋体"/>
                      <w:color w:val="auto"/>
                      <w:sz w:val="21"/>
                      <w:szCs w:val="21"/>
                    </w:rPr>
                    <w:t>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1534"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初沉池</w:t>
                  </w:r>
                </w:p>
              </w:tc>
              <w:tc>
                <w:tcPr>
                  <w:tcW w:w="2831" w:type="dxa"/>
                  <w:tcBorders>
                    <w:tl2br w:val="nil"/>
                    <w:tr2bl w:val="nil"/>
                  </w:tcBorders>
                  <w:vAlign w:val="center"/>
                </w:tcPr>
                <w:p>
                  <w:pPr>
                    <w:pStyle w:val="41"/>
                    <w:snapToGrid w:val="0"/>
                    <w:jc w:val="center"/>
                    <w:rPr>
                      <w:rFonts w:hint="default" w:eastAsia="宋体"/>
                      <w:color w:val="auto"/>
                      <w:spacing w:val="6"/>
                      <w:sz w:val="21"/>
                      <w:szCs w:val="21"/>
                      <w:lang w:val="en-US" w:eastAsia="zh-CN"/>
                    </w:rPr>
                  </w:pPr>
                  <w:r>
                    <w:rPr>
                      <w:rFonts w:hint="eastAsia" w:eastAsia="宋体"/>
                      <w:color w:val="auto"/>
                      <w:spacing w:val="6"/>
                      <w:sz w:val="21"/>
                      <w:szCs w:val="21"/>
                      <w:lang w:val="en-US" w:eastAsia="zh-CN"/>
                    </w:rPr>
                    <w:t>Φ18m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2</w:t>
                  </w:r>
                  <w:r>
                    <w:rPr>
                      <w:rFonts w:eastAsia="宋体"/>
                      <w:color w:val="auto"/>
                      <w:sz w:val="21"/>
                      <w:szCs w:val="21"/>
                    </w:rPr>
                    <w:t>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19" w:type="dxa"/>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1534" w:type="dxa"/>
                  <w:tcBorders>
                    <w:tl2br w:val="nil"/>
                    <w:tr2bl w:val="nil"/>
                  </w:tcBorders>
                  <w:vAlign w:val="center"/>
                </w:tcPr>
                <w:p>
                  <w:pPr>
                    <w:pStyle w:val="41"/>
                    <w:snapToGrid w:val="0"/>
                    <w:jc w:val="center"/>
                    <w:rPr>
                      <w:rFonts w:eastAsia="宋体"/>
                      <w:color w:val="auto"/>
                      <w:sz w:val="21"/>
                      <w:szCs w:val="21"/>
                    </w:rPr>
                  </w:pPr>
                  <w:r>
                    <w:rPr>
                      <w:rFonts w:eastAsia="宋体"/>
                      <w:color w:val="auto"/>
                      <w:sz w:val="21"/>
                      <w:szCs w:val="21"/>
                      <w:lang w:val="en-US" w:eastAsia="zh-CN"/>
                    </w:rPr>
                    <w:t>初沉池集配水井及污泥泵房</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10</w:t>
                  </w:r>
                  <w:r>
                    <w:rPr>
                      <w:rFonts w:eastAsia="宋体"/>
                      <w:color w:val="auto"/>
                      <w:spacing w:val="6"/>
                      <w:sz w:val="21"/>
                      <w:szCs w:val="21"/>
                    </w:rPr>
                    <w:t>m×</w:t>
                  </w:r>
                  <w:r>
                    <w:rPr>
                      <w:rFonts w:hint="eastAsia" w:eastAsia="宋体"/>
                      <w:color w:val="auto"/>
                      <w:spacing w:val="6"/>
                      <w:sz w:val="21"/>
                      <w:szCs w:val="21"/>
                      <w:lang w:val="en-US" w:eastAsia="zh-CN"/>
                    </w:rPr>
                    <w:t>8</w:t>
                  </w:r>
                  <w:r>
                    <w:rPr>
                      <w:rFonts w:eastAsia="宋体"/>
                      <w:color w:val="auto"/>
                      <w:spacing w:val="6"/>
                      <w:sz w:val="21"/>
                      <w:szCs w:val="21"/>
                    </w:rPr>
                    <w:t>m×</w:t>
                  </w:r>
                  <w:r>
                    <w:rPr>
                      <w:rFonts w:hint="eastAsia" w:eastAsia="宋体"/>
                      <w:color w:val="auto"/>
                      <w:spacing w:val="6"/>
                      <w:sz w:val="21"/>
                      <w:szCs w:val="21"/>
                      <w:lang w:val="en-US" w:eastAsia="zh-CN"/>
                    </w:rPr>
                    <w:t>7</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default" w:eastAsia="宋体"/>
                      <w:color w:val="auto"/>
                      <w:sz w:val="21"/>
                      <w:szCs w:val="21"/>
                      <w:lang w:val="en-US" w:eastAsia="zh-CN"/>
                    </w:rPr>
                  </w:pPr>
                  <w:r>
                    <w:rPr>
                      <w:rFonts w:hint="eastAsia" w:eastAsia="宋体"/>
                      <w:color w:val="auto"/>
                      <w:sz w:val="21"/>
                      <w:szCs w:val="21"/>
                      <w:lang w:val="en-US" w:eastAsia="zh-CN"/>
                    </w:rPr>
                    <w:t>1层</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二</w:t>
                  </w:r>
                </w:p>
              </w:tc>
              <w:tc>
                <w:tcPr>
                  <w:tcW w:w="7471" w:type="dxa"/>
                  <w:gridSpan w:val="4"/>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二</w:t>
                  </w:r>
                  <w:r>
                    <w:rPr>
                      <w:rFonts w:hint="eastAsia" w:ascii="Times New Roman" w:hAnsi="Times New Roman" w:eastAsia="宋体" w:cs="Times New Roman"/>
                      <w:color w:val="auto"/>
                      <w:szCs w:val="21"/>
                    </w:rPr>
                    <w:t>级处理设施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p>
              </w:tc>
              <w:tc>
                <w:tcPr>
                  <w:tcW w:w="1534" w:type="dxa"/>
                  <w:tcBorders>
                    <w:tl2br w:val="nil"/>
                    <w:tr2bl w:val="nil"/>
                  </w:tcBorders>
                  <w:vAlign w:val="center"/>
                </w:tcPr>
                <w:p>
                  <w:pPr>
                    <w:pStyle w:val="41"/>
                    <w:snapToGrid w:val="0"/>
                    <w:jc w:val="center"/>
                    <w:rPr>
                      <w:rFonts w:eastAsia="宋体"/>
                      <w:color w:val="auto"/>
                      <w:sz w:val="21"/>
                      <w:szCs w:val="21"/>
                    </w:rPr>
                  </w:pPr>
                  <w:r>
                    <w:rPr>
                      <w:rFonts w:eastAsia="宋体"/>
                      <w:color w:val="auto"/>
                      <w:sz w:val="21"/>
                      <w:szCs w:val="21"/>
                      <w:lang w:val="en-US" w:eastAsia="zh-CN"/>
                    </w:rPr>
                    <w:t>生物池</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102</w:t>
                  </w:r>
                  <w:r>
                    <w:rPr>
                      <w:rFonts w:eastAsia="宋体"/>
                      <w:color w:val="auto"/>
                      <w:spacing w:val="6"/>
                      <w:sz w:val="21"/>
                      <w:szCs w:val="21"/>
                    </w:rPr>
                    <w:t>m×</w:t>
                  </w:r>
                  <w:r>
                    <w:rPr>
                      <w:rFonts w:hint="eastAsia" w:eastAsia="宋体"/>
                      <w:color w:val="auto"/>
                      <w:spacing w:val="6"/>
                      <w:sz w:val="21"/>
                      <w:szCs w:val="21"/>
                      <w:lang w:val="en-US" w:eastAsia="zh-CN"/>
                    </w:rPr>
                    <w:t>45</w:t>
                  </w:r>
                  <w:r>
                    <w:rPr>
                      <w:rFonts w:eastAsia="宋体"/>
                      <w:color w:val="auto"/>
                      <w:spacing w:val="6"/>
                      <w:sz w:val="21"/>
                      <w:szCs w:val="21"/>
                    </w:rPr>
                    <w:t>m×</w:t>
                  </w:r>
                  <w:r>
                    <w:rPr>
                      <w:rFonts w:hint="eastAsia" w:eastAsia="宋体"/>
                      <w:color w:val="auto"/>
                      <w:spacing w:val="6"/>
                      <w:sz w:val="21"/>
                      <w:szCs w:val="21"/>
                      <w:lang w:val="en-US" w:eastAsia="zh-CN"/>
                    </w:rPr>
                    <w:t>7.7</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1</w:t>
                  </w:r>
                  <w:r>
                    <w:rPr>
                      <w:rFonts w:eastAsia="宋体"/>
                      <w:color w:val="auto"/>
                      <w:sz w:val="21"/>
                      <w:szCs w:val="21"/>
                    </w:rPr>
                    <w:t>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1534" w:type="dxa"/>
                  <w:tcBorders>
                    <w:tl2br w:val="nil"/>
                    <w:tr2bl w:val="nil"/>
                  </w:tcBorders>
                  <w:vAlign w:val="center"/>
                </w:tcPr>
                <w:p>
                  <w:pPr>
                    <w:pStyle w:val="41"/>
                    <w:snapToGrid w:val="0"/>
                    <w:jc w:val="center"/>
                    <w:rPr>
                      <w:rFonts w:eastAsia="宋体"/>
                      <w:color w:val="auto"/>
                      <w:sz w:val="21"/>
                      <w:szCs w:val="21"/>
                    </w:rPr>
                  </w:pPr>
                  <w:r>
                    <w:rPr>
                      <w:rFonts w:eastAsia="宋体"/>
                      <w:color w:val="auto"/>
                      <w:sz w:val="21"/>
                      <w:szCs w:val="21"/>
                      <w:lang w:val="en-US" w:eastAsia="zh-CN"/>
                    </w:rPr>
                    <w:t>二沉池</w:t>
                  </w:r>
                </w:p>
              </w:tc>
              <w:tc>
                <w:tcPr>
                  <w:tcW w:w="2831" w:type="dxa"/>
                  <w:tcBorders>
                    <w:tl2br w:val="nil"/>
                    <w:tr2bl w:val="nil"/>
                  </w:tcBorders>
                  <w:vAlign w:val="center"/>
                </w:tcPr>
                <w:p>
                  <w:pPr>
                    <w:pStyle w:val="41"/>
                    <w:snapToGrid w:val="0"/>
                    <w:jc w:val="center"/>
                    <w:rPr>
                      <w:rFonts w:hint="default" w:eastAsia="宋体"/>
                      <w:color w:val="auto"/>
                      <w:spacing w:val="6"/>
                      <w:sz w:val="21"/>
                      <w:szCs w:val="21"/>
                      <w:lang w:val="en-US" w:eastAsia="zh-CN"/>
                    </w:rPr>
                  </w:pPr>
                  <w:r>
                    <w:rPr>
                      <w:rFonts w:hint="eastAsia" w:eastAsia="宋体"/>
                      <w:color w:val="auto"/>
                      <w:spacing w:val="6"/>
                      <w:sz w:val="21"/>
                      <w:szCs w:val="21"/>
                      <w:lang w:val="en-US" w:eastAsia="zh-CN"/>
                    </w:rPr>
                    <w:t>Φ</w:t>
                  </w:r>
                  <w:r>
                    <w:rPr>
                      <w:rFonts w:eastAsia="宋体"/>
                      <w:color w:val="auto"/>
                      <w:spacing w:val="6"/>
                      <w:sz w:val="21"/>
                      <w:szCs w:val="21"/>
                    </w:rPr>
                    <w:t>×</w:t>
                  </w:r>
                  <w:r>
                    <w:rPr>
                      <w:rFonts w:hint="eastAsia" w:eastAsia="宋体"/>
                      <w:color w:val="auto"/>
                      <w:spacing w:val="6"/>
                      <w:sz w:val="21"/>
                      <w:szCs w:val="21"/>
                      <w:lang w:val="en-US" w:eastAsia="zh-CN"/>
                    </w:rPr>
                    <w:t>H=28</w:t>
                  </w:r>
                  <w:r>
                    <w:rPr>
                      <w:rFonts w:eastAsia="宋体"/>
                      <w:color w:val="auto"/>
                      <w:spacing w:val="6"/>
                      <w:sz w:val="21"/>
                      <w:szCs w:val="21"/>
                    </w:rPr>
                    <w:t>m×</w:t>
                  </w:r>
                  <w:r>
                    <w:rPr>
                      <w:rFonts w:hint="eastAsia" w:eastAsia="宋体"/>
                      <w:color w:val="auto"/>
                      <w:spacing w:val="6"/>
                      <w:sz w:val="21"/>
                      <w:szCs w:val="21"/>
                      <w:lang w:val="en-US" w:eastAsia="zh-CN"/>
                    </w:rPr>
                    <w:t>4.8</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2</w:t>
                  </w:r>
                  <w:r>
                    <w:rPr>
                      <w:rFonts w:eastAsia="宋体"/>
                      <w:color w:val="auto"/>
                      <w:sz w:val="21"/>
                      <w:szCs w:val="21"/>
                    </w:rPr>
                    <w:t>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三</w:t>
                  </w:r>
                </w:p>
              </w:tc>
              <w:tc>
                <w:tcPr>
                  <w:tcW w:w="7471" w:type="dxa"/>
                  <w:gridSpan w:val="4"/>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深度</w:t>
                  </w:r>
                  <w:r>
                    <w:rPr>
                      <w:rFonts w:hint="eastAsia" w:ascii="Times New Roman" w:hAnsi="Times New Roman" w:eastAsia="宋体" w:cs="Times New Roman"/>
                      <w:color w:val="auto"/>
                      <w:szCs w:val="21"/>
                    </w:rPr>
                    <w:t>处理设施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w:t>
                  </w:r>
                </w:p>
              </w:tc>
              <w:tc>
                <w:tcPr>
                  <w:tcW w:w="1534" w:type="dxa"/>
                  <w:tcBorders>
                    <w:tl2br w:val="nil"/>
                    <w:tr2bl w:val="nil"/>
                  </w:tcBorders>
                  <w:vAlign w:val="center"/>
                </w:tcPr>
                <w:p>
                  <w:pPr>
                    <w:pStyle w:val="41"/>
                    <w:snapToGrid w:val="0"/>
                    <w:jc w:val="center"/>
                    <w:rPr>
                      <w:rFonts w:eastAsia="宋体"/>
                      <w:color w:val="auto"/>
                      <w:sz w:val="21"/>
                      <w:szCs w:val="21"/>
                      <w:lang w:val="en-US" w:eastAsia="zh-CN"/>
                    </w:rPr>
                  </w:pPr>
                  <w:r>
                    <w:rPr>
                      <w:rFonts w:eastAsia="宋体"/>
                      <w:color w:val="auto"/>
                      <w:sz w:val="21"/>
                      <w:szCs w:val="21"/>
                      <w:lang w:val="en-US" w:eastAsia="zh-CN"/>
                    </w:rPr>
                    <w:t>污泥泵池</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15</w:t>
                  </w:r>
                  <w:r>
                    <w:rPr>
                      <w:rFonts w:eastAsia="宋体"/>
                      <w:color w:val="auto"/>
                      <w:spacing w:val="6"/>
                      <w:sz w:val="21"/>
                      <w:szCs w:val="21"/>
                    </w:rPr>
                    <w:t>m×</w:t>
                  </w:r>
                  <w:r>
                    <w:rPr>
                      <w:rFonts w:hint="eastAsia" w:eastAsia="宋体"/>
                      <w:color w:val="auto"/>
                      <w:spacing w:val="6"/>
                      <w:sz w:val="21"/>
                      <w:szCs w:val="21"/>
                      <w:lang w:val="en-US" w:eastAsia="zh-CN"/>
                    </w:rPr>
                    <w:t>7.8</w:t>
                  </w:r>
                  <w:r>
                    <w:rPr>
                      <w:rFonts w:eastAsia="宋体"/>
                      <w:color w:val="auto"/>
                      <w:spacing w:val="6"/>
                      <w:sz w:val="21"/>
                      <w:szCs w:val="21"/>
                    </w:rPr>
                    <w:t>m×</w:t>
                  </w:r>
                  <w:r>
                    <w:rPr>
                      <w:rFonts w:hint="eastAsia" w:eastAsia="宋体"/>
                      <w:color w:val="auto"/>
                      <w:spacing w:val="6"/>
                      <w:sz w:val="21"/>
                      <w:szCs w:val="21"/>
                      <w:lang w:val="en-US" w:eastAsia="zh-CN"/>
                    </w:rPr>
                    <w:t>6.6</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1</w:t>
                  </w:r>
                  <w:r>
                    <w:rPr>
                      <w:rFonts w:eastAsia="宋体"/>
                      <w:color w:val="auto"/>
                      <w:sz w:val="21"/>
                      <w:szCs w:val="21"/>
                    </w:rPr>
                    <w:t>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1534" w:type="dxa"/>
                  <w:tcBorders>
                    <w:tl2br w:val="nil"/>
                    <w:tr2bl w:val="nil"/>
                  </w:tcBorders>
                  <w:vAlign w:val="center"/>
                </w:tcPr>
                <w:p>
                  <w:pPr>
                    <w:pStyle w:val="41"/>
                    <w:snapToGrid w:val="0"/>
                    <w:jc w:val="center"/>
                    <w:rPr>
                      <w:rFonts w:eastAsia="宋体"/>
                      <w:color w:val="auto"/>
                      <w:sz w:val="21"/>
                      <w:szCs w:val="21"/>
                      <w:lang w:val="en-US" w:eastAsia="zh-CN"/>
                    </w:rPr>
                  </w:pPr>
                  <w:r>
                    <w:rPr>
                      <w:rFonts w:eastAsia="宋体"/>
                      <w:color w:val="auto"/>
                      <w:sz w:val="21"/>
                      <w:szCs w:val="21"/>
                      <w:lang w:val="en-US" w:eastAsia="zh-CN"/>
                    </w:rPr>
                    <w:t>提升泵池</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15</w:t>
                  </w:r>
                  <w:r>
                    <w:rPr>
                      <w:rFonts w:eastAsia="宋体"/>
                      <w:color w:val="auto"/>
                      <w:spacing w:val="6"/>
                      <w:sz w:val="21"/>
                      <w:szCs w:val="21"/>
                    </w:rPr>
                    <w:t>m×</w:t>
                  </w:r>
                  <w:r>
                    <w:rPr>
                      <w:rFonts w:hint="eastAsia" w:eastAsia="宋体"/>
                      <w:color w:val="auto"/>
                      <w:spacing w:val="6"/>
                      <w:sz w:val="21"/>
                      <w:szCs w:val="21"/>
                      <w:lang w:val="en-US" w:eastAsia="zh-CN"/>
                    </w:rPr>
                    <w:t>5</w:t>
                  </w:r>
                  <w:r>
                    <w:rPr>
                      <w:rFonts w:eastAsia="宋体"/>
                      <w:color w:val="auto"/>
                      <w:spacing w:val="6"/>
                      <w:sz w:val="21"/>
                      <w:szCs w:val="21"/>
                    </w:rPr>
                    <w:t>m×</w:t>
                  </w:r>
                  <w:r>
                    <w:rPr>
                      <w:rFonts w:hint="eastAsia" w:eastAsia="宋体"/>
                      <w:color w:val="auto"/>
                      <w:spacing w:val="6"/>
                      <w:sz w:val="21"/>
                      <w:szCs w:val="21"/>
                      <w:lang w:val="en-US" w:eastAsia="zh-CN"/>
                    </w:rPr>
                    <w:t>6</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1</w:t>
                  </w:r>
                  <w:r>
                    <w:rPr>
                      <w:rFonts w:eastAsia="宋体"/>
                      <w:color w:val="auto"/>
                      <w:sz w:val="21"/>
                      <w:szCs w:val="21"/>
                    </w:rPr>
                    <w:t>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w:t>
                  </w:r>
                </w:p>
              </w:tc>
              <w:tc>
                <w:tcPr>
                  <w:tcW w:w="1534" w:type="dxa"/>
                  <w:tcBorders>
                    <w:tl2br w:val="nil"/>
                    <w:tr2bl w:val="nil"/>
                  </w:tcBorders>
                  <w:vAlign w:val="center"/>
                </w:tcPr>
                <w:p>
                  <w:pPr>
                    <w:pStyle w:val="41"/>
                    <w:snapToGrid w:val="0"/>
                    <w:jc w:val="center"/>
                    <w:rPr>
                      <w:rFonts w:eastAsia="宋体"/>
                      <w:color w:val="auto"/>
                      <w:sz w:val="21"/>
                      <w:szCs w:val="21"/>
                      <w:lang w:val="en-US" w:eastAsia="zh-CN"/>
                    </w:rPr>
                  </w:pPr>
                  <w:r>
                    <w:rPr>
                      <w:rFonts w:eastAsia="宋体"/>
                      <w:color w:val="auto"/>
                      <w:sz w:val="21"/>
                      <w:szCs w:val="21"/>
                      <w:lang w:val="en-US" w:eastAsia="zh-CN"/>
                    </w:rPr>
                    <w:t>高效沉淀池及加氯 间</w:t>
                  </w:r>
                </w:p>
              </w:tc>
              <w:tc>
                <w:tcPr>
                  <w:tcW w:w="2831" w:type="dxa"/>
                  <w:tcBorders>
                    <w:tl2br w:val="nil"/>
                    <w:tr2bl w:val="nil"/>
                  </w:tcBorders>
                  <w:vAlign w:val="center"/>
                </w:tcPr>
                <w:p>
                  <w:pPr>
                    <w:pStyle w:val="41"/>
                    <w:snapToGrid w:val="0"/>
                    <w:jc w:val="center"/>
                    <w:rPr>
                      <w:rFonts w:hint="default" w:eastAsia="宋体"/>
                      <w:color w:val="auto"/>
                      <w:spacing w:val="6"/>
                      <w:sz w:val="21"/>
                      <w:szCs w:val="21"/>
                      <w:lang w:val="en-US" w:eastAsia="zh-CN"/>
                    </w:rPr>
                  </w:pPr>
                  <w:r>
                    <w:rPr>
                      <w:rFonts w:hint="eastAsia" w:eastAsia="宋体"/>
                      <w:color w:val="auto"/>
                      <w:spacing w:val="6"/>
                      <w:sz w:val="21"/>
                      <w:szCs w:val="21"/>
                      <w:lang w:val="en-US" w:eastAsia="zh-CN"/>
                    </w:rPr>
                    <w:t>2200m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ascii="Times New Roman" w:hAnsi="Times New Roman" w:eastAsia="宋体" w:cs="Times New Roman"/>
                      <w:color w:val="auto"/>
                      <w:szCs w:val="21"/>
                      <w:lang w:val="en-US" w:eastAsia="zh-CN"/>
                    </w:rPr>
                    <w:t>1间</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1534" w:type="dxa"/>
                  <w:tcBorders>
                    <w:tl2br w:val="nil"/>
                    <w:tr2bl w:val="nil"/>
                  </w:tcBorders>
                  <w:vAlign w:val="center"/>
                </w:tcPr>
                <w:p>
                  <w:pPr>
                    <w:pStyle w:val="41"/>
                    <w:snapToGrid w:val="0"/>
                    <w:jc w:val="center"/>
                    <w:rPr>
                      <w:rFonts w:eastAsia="宋体"/>
                      <w:color w:val="auto"/>
                      <w:sz w:val="21"/>
                      <w:szCs w:val="21"/>
                      <w:lang w:val="en-US" w:eastAsia="zh-CN"/>
                    </w:rPr>
                  </w:pPr>
                  <w:r>
                    <w:rPr>
                      <w:rFonts w:eastAsia="宋体"/>
                      <w:color w:val="auto"/>
                      <w:sz w:val="21"/>
                      <w:szCs w:val="21"/>
                      <w:lang w:val="en-US" w:eastAsia="zh-CN"/>
                    </w:rPr>
                    <w:t>V 型滤池</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6</w:t>
                  </w:r>
                  <w:r>
                    <w:rPr>
                      <w:rFonts w:eastAsia="宋体"/>
                      <w:color w:val="auto"/>
                      <w:spacing w:val="6"/>
                      <w:sz w:val="21"/>
                      <w:szCs w:val="21"/>
                    </w:rPr>
                    <w:t>m×</w:t>
                  </w:r>
                  <w:r>
                    <w:rPr>
                      <w:rFonts w:hint="eastAsia" w:eastAsia="宋体"/>
                      <w:color w:val="auto"/>
                      <w:spacing w:val="6"/>
                      <w:sz w:val="21"/>
                      <w:szCs w:val="21"/>
                      <w:lang w:val="en-US" w:eastAsia="zh-CN"/>
                    </w:rPr>
                    <w:t>7</w:t>
                  </w:r>
                  <w:r>
                    <w:rPr>
                      <w:rFonts w:eastAsia="宋体"/>
                      <w:color w:val="auto"/>
                      <w:spacing w:val="6"/>
                      <w:sz w:val="21"/>
                      <w:szCs w:val="21"/>
                    </w:rPr>
                    <w:t>m×</w:t>
                  </w:r>
                  <w:r>
                    <w:rPr>
                      <w:rFonts w:hint="eastAsia" w:eastAsia="宋体"/>
                      <w:color w:val="auto"/>
                      <w:spacing w:val="6"/>
                      <w:sz w:val="21"/>
                      <w:szCs w:val="21"/>
                      <w:lang w:val="en-US" w:eastAsia="zh-CN"/>
                    </w:rPr>
                    <w:t>8</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default" w:eastAsia="宋体"/>
                      <w:color w:val="auto"/>
                      <w:sz w:val="21"/>
                      <w:szCs w:val="21"/>
                      <w:lang w:val="en-US" w:eastAsia="zh-CN"/>
                    </w:rPr>
                  </w:pPr>
                  <w:r>
                    <w:rPr>
                      <w:rFonts w:hint="eastAsia" w:eastAsia="宋体"/>
                      <w:color w:val="auto"/>
                      <w:sz w:val="21"/>
                      <w:szCs w:val="21"/>
                      <w:lang w:val="en-US" w:eastAsia="zh-CN"/>
                    </w:rPr>
                    <w:t>4格</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w:t>
                  </w:r>
                </w:p>
              </w:tc>
              <w:tc>
                <w:tcPr>
                  <w:tcW w:w="1534" w:type="dxa"/>
                  <w:tcBorders>
                    <w:tl2br w:val="nil"/>
                    <w:tr2bl w:val="nil"/>
                  </w:tcBorders>
                  <w:vAlign w:val="center"/>
                </w:tcPr>
                <w:p>
                  <w:pPr>
                    <w:pStyle w:val="41"/>
                    <w:snapToGrid w:val="0"/>
                    <w:jc w:val="center"/>
                    <w:rPr>
                      <w:rFonts w:eastAsia="宋体"/>
                      <w:color w:val="auto"/>
                      <w:sz w:val="21"/>
                      <w:szCs w:val="21"/>
                      <w:lang w:val="en-US" w:eastAsia="zh-CN"/>
                    </w:rPr>
                  </w:pPr>
                  <w:r>
                    <w:rPr>
                      <w:rFonts w:eastAsia="宋体"/>
                      <w:color w:val="auto"/>
                      <w:sz w:val="21"/>
                      <w:szCs w:val="21"/>
                      <w:lang w:val="en-US" w:eastAsia="zh-CN"/>
                    </w:rPr>
                    <w:t>接触池及巴氏计量 渠</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24</w:t>
                  </w:r>
                  <w:r>
                    <w:rPr>
                      <w:rFonts w:eastAsia="宋体"/>
                      <w:color w:val="auto"/>
                      <w:spacing w:val="6"/>
                      <w:sz w:val="21"/>
                      <w:szCs w:val="21"/>
                    </w:rPr>
                    <w:t>m×</w:t>
                  </w:r>
                  <w:r>
                    <w:rPr>
                      <w:rFonts w:hint="eastAsia" w:eastAsia="宋体"/>
                      <w:color w:val="auto"/>
                      <w:spacing w:val="6"/>
                      <w:sz w:val="21"/>
                      <w:szCs w:val="21"/>
                      <w:lang w:val="en-US" w:eastAsia="zh-CN"/>
                    </w:rPr>
                    <w:t>5.3</w:t>
                  </w:r>
                  <w:r>
                    <w:rPr>
                      <w:rFonts w:eastAsia="宋体"/>
                      <w:color w:val="auto"/>
                      <w:spacing w:val="6"/>
                      <w:sz w:val="21"/>
                      <w:szCs w:val="21"/>
                    </w:rPr>
                    <w:t>m×</w:t>
                  </w:r>
                  <w:r>
                    <w:rPr>
                      <w:rFonts w:hint="eastAsia" w:eastAsia="宋体"/>
                      <w:color w:val="auto"/>
                      <w:spacing w:val="6"/>
                      <w:sz w:val="21"/>
                      <w:szCs w:val="21"/>
                      <w:lang w:val="en-US" w:eastAsia="zh-CN"/>
                    </w:rPr>
                    <w:t>6.6</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1</w:t>
                  </w:r>
                  <w:r>
                    <w:rPr>
                      <w:rFonts w:eastAsia="宋体"/>
                      <w:color w:val="auto"/>
                      <w:sz w:val="21"/>
                      <w:szCs w:val="21"/>
                    </w:rPr>
                    <w:t>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四</w:t>
                  </w:r>
                </w:p>
              </w:tc>
              <w:tc>
                <w:tcPr>
                  <w:tcW w:w="7471" w:type="dxa"/>
                  <w:gridSpan w:val="4"/>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lang w:val="en-US" w:eastAsia="zh-CN"/>
                    </w:rPr>
                  </w:pPr>
                  <w:r>
                    <w:rPr>
                      <w:rFonts w:hint="eastAsia" w:eastAsia="宋体"/>
                      <w:color w:val="auto"/>
                      <w:sz w:val="21"/>
                      <w:szCs w:val="21"/>
                    </w:rPr>
                    <w:t>污泥处理构筑物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w:t>
                  </w:r>
                </w:p>
              </w:tc>
              <w:tc>
                <w:tcPr>
                  <w:tcW w:w="1534" w:type="dxa"/>
                  <w:tcBorders>
                    <w:tl2br w:val="nil"/>
                    <w:tr2bl w:val="nil"/>
                  </w:tcBorders>
                  <w:vAlign w:val="center"/>
                </w:tcPr>
                <w:p>
                  <w:pPr>
                    <w:pStyle w:val="41"/>
                    <w:snapToGrid w:val="0"/>
                    <w:jc w:val="center"/>
                    <w:rPr>
                      <w:rFonts w:eastAsia="宋体"/>
                      <w:color w:val="auto"/>
                      <w:sz w:val="21"/>
                      <w:szCs w:val="21"/>
                      <w:lang w:val="en-US" w:eastAsia="zh-CN"/>
                    </w:rPr>
                  </w:pPr>
                  <w:r>
                    <w:rPr>
                      <w:rFonts w:eastAsia="宋体"/>
                      <w:color w:val="auto"/>
                      <w:sz w:val="21"/>
                      <w:szCs w:val="21"/>
                      <w:lang w:val="en-US" w:eastAsia="zh-CN"/>
                    </w:rPr>
                    <w:t>鼓风机房</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7.2</w:t>
                  </w:r>
                  <w:r>
                    <w:rPr>
                      <w:rFonts w:eastAsia="宋体"/>
                      <w:color w:val="auto"/>
                      <w:spacing w:val="6"/>
                      <w:sz w:val="21"/>
                      <w:szCs w:val="21"/>
                    </w:rPr>
                    <w:t>m×</w:t>
                  </w:r>
                  <w:r>
                    <w:rPr>
                      <w:rFonts w:hint="eastAsia" w:eastAsia="宋体"/>
                      <w:color w:val="auto"/>
                      <w:spacing w:val="6"/>
                      <w:sz w:val="21"/>
                      <w:szCs w:val="21"/>
                      <w:lang w:val="en-US" w:eastAsia="zh-CN"/>
                    </w:rPr>
                    <w:t>4.2</w:t>
                  </w:r>
                  <w:r>
                    <w:rPr>
                      <w:rFonts w:eastAsia="宋体"/>
                      <w:color w:val="auto"/>
                      <w:spacing w:val="6"/>
                      <w:sz w:val="21"/>
                      <w:szCs w:val="21"/>
                    </w:rPr>
                    <w:t>m×</w:t>
                  </w:r>
                  <w:r>
                    <w:rPr>
                      <w:rFonts w:hint="eastAsia" w:eastAsia="宋体"/>
                      <w:color w:val="auto"/>
                      <w:spacing w:val="6"/>
                      <w:sz w:val="21"/>
                      <w:szCs w:val="21"/>
                      <w:lang w:val="en-US" w:eastAsia="zh-CN"/>
                    </w:rPr>
                    <w:t>3.9</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1</w:t>
                  </w:r>
                  <w:r>
                    <w:rPr>
                      <w:rFonts w:eastAsia="宋体"/>
                      <w:color w:val="auto"/>
                      <w:sz w:val="21"/>
                      <w:szCs w:val="21"/>
                    </w:rPr>
                    <w:t>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砖混</w:t>
                  </w:r>
                  <w:r>
                    <w:rPr>
                      <w:rFonts w:ascii="Times New Roman" w:hAnsi="Times New Roman" w:eastAsia="宋体" w:cs="Times New Roman"/>
                      <w:color w:val="auto"/>
                      <w:szCs w:val="21"/>
                    </w:rPr>
                    <w:t>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534" w:type="dxa"/>
                  <w:tcBorders>
                    <w:tl2br w:val="nil"/>
                    <w:tr2bl w:val="nil"/>
                  </w:tcBorders>
                  <w:vAlign w:val="center"/>
                </w:tcPr>
                <w:p>
                  <w:pPr>
                    <w:pStyle w:val="41"/>
                    <w:snapToGrid w:val="0"/>
                    <w:jc w:val="center"/>
                    <w:rPr>
                      <w:rFonts w:eastAsia="宋体"/>
                      <w:color w:val="auto"/>
                      <w:sz w:val="21"/>
                      <w:szCs w:val="21"/>
                      <w:lang w:val="en-US" w:eastAsia="zh-CN"/>
                    </w:rPr>
                  </w:pPr>
                  <w:r>
                    <w:rPr>
                      <w:rFonts w:eastAsia="宋体"/>
                      <w:color w:val="auto"/>
                      <w:sz w:val="21"/>
                      <w:szCs w:val="21"/>
                      <w:lang w:val="en-US" w:eastAsia="zh-CN"/>
                    </w:rPr>
                    <w:t>污泥浓缩池</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Φ</w:t>
                  </w:r>
                  <w:r>
                    <w:rPr>
                      <w:rFonts w:eastAsia="宋体"/>
                      <w:color w:val="auto"/>
                      <w:spacing w:val="6"/>
                      <w:sz w:val="21"/>
                      <w:szCs w:val="21"/>
                    </w:rPr>
                    <w:t>×</w:t>
                  </w:r>
                  <w:r>
                    <w:rPr>
                      <w:rFonts w:hint="eastAsia" w:eastAsia="宋体"/>
                      <w:color w:val="auto"/>
                      <w:spacing w:val="6"/>
                      <w:sz w:val="21"/>
                      <w:szCs w:val="21"/>
                      <w:lang w:val="en-US" w:eastAsia="zh-CN"/>
                    </w:rPr>
                    <w:t>H=18</w:t>
                  </w:r>
                  <w:r>
                    <w:rPr>
                      <w:rFonts w:eastAsia="宋体"/>
                      <w:color w:val="auto"/>
                      <w:spacing w:val="6"/>
                      <w:sz w:val="21"/>
                      <w:szCs w:val="21"/>
                    </w:rPr>
                    <w:t>m×</w:t>
                  </w:r>
                  <w:r>
                    <w:rPr>
                      <w:rFonts w:hint="eastAsia" w:eastAsia="宋体"/>
                      <w:color w:val="auto"/>
                      <w:spacing w:val="6"/>
                      <w:sz w:val="21"/>
                      <w:szCs w:val="21"/>
                      <w:lang w:val="en-US" w:eastAsia="zh-CN"/>
                    </w:rPr>
                    <w:t>4.8</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1</w:t>
                  </w:r>
                  <w:r>
                    <w:rPr>
                      <w:rFonts w:eastAsia="宋体"/>
                      <w:color w:val="auto"/>
                      <w:sz w:val="21"/>
                      <w:szCs w:val="21"/>
                    </w:rPr>
                    <w:t>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钢砼结构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w:t>
                  </w:r>
                </w:p>
              </w:tc>
              <w:tc>
                <w:tcPr>
                  <w:tcW w:w="1534" w:type="dxa"/>
                  <w:tcBorders>
                    <w:tl2br w:val="nil"/>
                    <w:tr2bl w:val="nil"/>
                  </w:tcBorders>
                  <w:vAlign w:val="center"/>
                </w:tcPr>
                <w:p>
                  <w:pPr>
                    <w:pStyle w:val="41"/>
                    <w:snapToGrid w:val="0"/>
                    <w:jc w:val="center"/>
                    <w:rPr>
                      <w:rFonts w:eastAsia="宋体"/>
                      <w:color w:val="auto"/>
                      <w:sz w:val="21"/>
                      <w:szCs w:val="21"/>
                      <w:lang w:val="en-US" w:eastAsia="zh-CN"/>
                    </w:rPr>
                  </w:pPr>
                  <w:r>
                    <w:rPr>
                      <w:rFonts w:eastAsia="宋体"/>
                      <w:color w:val="auto"/>
                      <w:sz w:val="21"/>
                      <w:szCs w:val="21"/>
                      <w:lang w:val="en-US" w:eastAsia="zh-CN"/>
                    </w:rPr>
                    <w:t>污泥提升泵房</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10.8</w:t>
                  </w:r>
                  <w:r>
                    <w:rPr>
                      <w:rFonts w:eastAsia="宋体"/>
                      <w:color w:val="auto"/>
                      <w:spacing w:val="6"/>
                      <w:sz w:val="21"/>
                      <w:szCs w:val="21"/>
                    </w:rPr>
                    <w:t>m×</w:t>
                  </w:r>
                  <w:r>
                    <w:rPr>
                      <w:rFonts w:hint="eastAsia" w:eastAsia="宋体"/>
                      <w:color w:val="auto"/>
                      <w:spacing w:val="6"/>
                      <w:sz w:val="21"/>
                      <w:szCs w:val="21"/>
                      <w:lang w:val="en-US" w:eastAsia="zh-CN"/>
                    </w:rPr>
                    <w:t>5.8</w:t>
                  </w:r>
                  <w:r>
                    <w:rPr>
                      <w:rFonts w:eastAsia="宋体"/>
                      <w:color w:val="auto"/>
                      <w:spacing w:val="6"/>
                      <w:sz w:val="21"/>
                      <w:szCs w:val="21"/>
                    </w:rPr>
                    <w:t>m×</w:t>
                  </w:r>
                  <w:r>
                    <w:rPr>
                      <w:rFonts w:hint="eastAsia" w:eastAsia="宋体"/>
                      <w:color w:val="auto"/>
                      <w:spacing w:val="6"/>
                      <w:sz w:val="21"/>
                      <w:szCs w:val="21"/>
                      <w:lang w:val="en-US" w:eastAsia="zh-CN"/>
                    </w:rPr>
                    <w:t>3.9</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ascii="Times New Roman" w:hAnsi="Times New Roman" w:eastAsia="宋体" w:cs="Times New Roman"/>
                      <w:color w:val="auto"/>
                      <w:szCs w:val="21"/>
                      <w:lang w:val="en-US" w:eastAsia="zh-CN"/>
                    </w:rPr>
                    <w:t>1间</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砖混</w:t>
                  </w:r>
                  <w:r>
                    <w:rPr>
                      <w:rFonts w:ascii="Times New Roman" w:hAnsi="Times New Roman" w:eastAsia="宋体" w:cs="Times New Roman"/>
                      <w:color w:val="auto"/>
                      <w:szCs w:val="21"/>
                    </w:rPr>
                    <w:t>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五</w:t>
                  </w:r>
                </w:p>
              </w:tc>
              <w:tc>
                <w:tcPr>
                  <w:tcW w:w="7471" w:type="dxa"/>
                  <w:gridSpan w:val="4"/>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lang w:val="en-US" w:eastAsia="zh-CN"/>
                    </w:rPr>
                  </w:pPr>
                  <w:r>
                    <w:rPr>
                      <w:rFonts w:hint="eastAsia" w:eastAsia="宋体"/>
                      <w:color w:val="auto"/>
                      <w:sz w:val="21"/>
                      <w:szCs w:val="21"/>
                    </w:rPr>
                    <w:t>辅助及办公构筑物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w:t>
                  </w:r>
                </w:p>
              </w:tc>
              <w:tc>
                <w:tcPr>
                  <w:tcW w:w="1534" w:type="dxa"/>
                  <w:tcBorders>
                    <w:tl2br w:val="nil"/>
                    <w:tr2bl w:val="nil"/>
                  </w:tcBorders>
                  <w:vAlign w:val="center"/>
                </w:tcPr>
                <w:p>
                  <w:pPr>
                    <w:pStyle w:val="41"/>
                    <w:snapToGrid w:val="0"/>
                    <w:jc w:val="center"/>
                    <w:rPr>
                      <w:rFonts w:eastAsia="宋体"/>
                      <w:color w:val="auto"/>
                      <w:sz w:val="21"/>
                      <w:szCs w:val="21"/>
                      <w:lang w:val="en-US" w:eastAsia="zh-CN"/>
                    </w:rPr>
                  </w:pPr>
                  <w:r>
                    <w:rPr>
                      <w:rFonts w:eastAsia="宋体"/>
                      <w:color w:val="auto"/>
                      <w:sz w:val="21"/>
                      <w:szCs w:val="21"/>
                      <w:lang w:val="en-US" w:eastAsia="zh-CN"/>
                    </w:rPr>
                    <w:t>综合楼</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16.5</w:t>
                  </w:r>
                  <w:r>
                    <w:rPr>
                      <w:rFonts w:eastAsia="宋体"/>
                      <w:color w:val="auto"/>
                      <w:spacing w:val="6"/>
                      <w:sz w:val="21"/>
                      <w:szCs w:val="21"/>
                    </w:rPr>
                    <w:t>m×</w:t>
                  </w:r>
                  <w:r>
                    <w:rPr>
                      <w:rFonts w:hint="eastAsia" w:eastAsia="宋体"/>
                      <w:color w:val="auto"/>
                      <w:spacing w:val="6"/>
                      <w:sz w:val="21"/>
                      <w:szCs w:val="21"/>
                      <w:lang w:val="en-US" w:eastAsia="zh-CN"/>
                    </w:rPr>
                    <w:t>4.5</w:t>
                  </w:r>
                  <w:r>
                    <w:rPr>
                      <w:rFonts w:eastAsia="宋体"/>
                      <w:color w:val="auto"/>
                      <w:spacing w:val="6"/>
                      <w:sz w:val="21"/>
                      <w:szCs w:val="21"/>
                    </w:rPr>
                    <w:t>m×</w:t>
                  </w:r>
                  <w:r>
                    <w:rPr>
                      <w:rFonts w:hint="eastAsia" w:eastAsia="宋体"/>
                      <w:color w:val="auto"/>
                      <w:spacing w:val="6"/>
                      <w:sz w:val="21"/>
                      <w:szCs w:val="21"/>
                      <w:lang w:val="en-US" w:eastAsia="zh-CN"/>
                    </w:rPr>
                    <w:t>6.6</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2层</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砖混</w:t>
                  </w:r>
                  <w:r>
                    <w:rPr>
                      <w:rFonts w:ascii="Times New Roman" w:hAnsi="Times New Roman" w:eastAsia="宋体" w:cs="Times New Roman"/>
                      <w:color w:val="auto"/>
                      <w:szCs w:val="21"/>
                    </w:rPr>
                    <w:t>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1534" w:type="dxa"/>
                  <w:tcBorders>
                    <w:tl2br w:val="nil"/>
                    <w:tr2bl w:val="nil"/>
                  </w:tcBorders>
                  <w:vAlign w:val="center"/>
                </w:tcPr>
                <w:p>
                  <w:pPr>
                    <w:pStyle w:val="41"/>
                    <w:snapToGrid w:val="0"/>
                    <w:jc w:val="center"/>
                    <w:rPr>
                      <w:rFonts w:eastAsia="宋体"/>
                      <w:color w:val="auto"/>
                      <w:sz w:val="21"/>
                      <w:szCs w:val="21"/>
                      <w:lang w:val="en-US" w:eastAsia="zh-CN"/>
                    </w:rPr>
                  </w:pPr>
                  <w:r>
                    <w:rPr>
                      <w:rFonts w:eastAsia="宋体"/>
                      <w:color w:val="auto"/>
                      <w:sz w:val="21"/>
                      <w:szCs w:val="21"/>
                      <w:lang w:val="en-US" w:eastAsia="zh-CN"/>
                    </w:rPr>
                    <w:t>门房</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4.8</w:t>
                  </w:r>
                  <w:r>
                    <w:rPr>
                      <w:rFonts w:eastAsia="宋体"/>
                      <w:color w:val="auto"/>
                      <w:spacing w:val="6"/>
                      <w:sz w:val="21"/>
                      <w:szCs w:val="21"/>
                    </w:rPr>
                    <w:t>m×</w:t>
                  </w:r>
                  <w:r>
                    <w:rPr>
                      <w:rFonts w:hint="eastAsia" w:eastAsia="宋体"/>
                      <w:color w:val="auto"/>
                      <w:spacing w:val="6"/>
                      <w:sz w:val="21"/>
                      <w:szCs w:val="21"/>
                      <w:lang w:val="en-US" w:eastAsia="zh-CN"/>
                    </w:rPr>
                    <w:t>3.3</w:t>
                  </w:r>
                  <w:r>
                    <w:rPr>
                      <w:rFonts w:eastAsia="宋体"/>
                      <w:color w:val="auto"/>
                      <w:spacing w:val="6"/>
                      <w:sz w:val="21"/>
                      <w:szCs w:val="21"/>
                    </w:rPr>
                    <w:t>m×</w:t>
                  </w:r>
                  <w:r>
                    <w:rPr>
                      <w:rFonts w:hint="eastAsia" w:eastAsia="宋体"/>
                      <w:color w:val="auto"/>
                      <w:spacing w:val="6"/>
                      <w:sz w:val="21"/>
                      <w:szCs w:val="21"/>
                      <w:lang w:val="en-US" w:eastAsia="zh-CN"/>
                    </w:rPr>
                    <w:t>3.3</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1</w:t>
                  </w:r>
                  <w:r>
                    <w:rPr>
                      <w:rFonts w:eastAsia="宋体"/>
                      <w:color w:val="auto"/>
                      <w:sz w:val="21"/>
                      <w:szCs w:val="21"/>
                    </w:rPr>
                    <w:t>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砖混</w:t>
                  </w:r>
                  <w:r>
                    <w:rPr>
                      <w:rFonts w:ascii="Times New Roman" w:hAnsi="Times New Roman" w:eastAsia="宋体" w:cs="Times New Roman"/>
                      <w:color w:val="auto"/>
                      <w:szCs w:val="21"/>
                    </w:rPr>
                    <w:t>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19"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w:t>
                  </w:r>
                </w:p>
              </w:tc>
              <w:tc>
                <w:tcPr>
                  <w:tcW w:w="1534" w:type="dxa"/>
                  <w:tcBorders>
                    <w:tl2br w:val="nil"/>
                    <w:tr2bl w:val="nil"/>
                  </w:tcBorders>
                  <w:vAlign w:val="center"/>
                </w:tcPr>
                <w:p>
                  <w:pPr>
                    <w:pStyle w:val="41"/>
                    <w:snapToGrid w:val="0"/>
                    <w:jc w:val="center"/>
                    <w:rPr>
                      <w:rFonts w:eastAsia="宋体"/>
                      <w:color w:val="auto"/>
                      <w:sz w:val="21"/>
                      <w:szCs w:val="21"/>
                      <w:lang w:val="en-US" w:eastAsia="zh-CN"/>
                    </w:rPr>
                  </w:pPr>
                  <w:r>
                    <w:rPr>
                      <w:rFonts w:eastAsia="宋体"/>
                      <w:color w:val="auto"/>
                      <w:sz w:val="21"/>
                      <w:szCs w:val="21"/>
                      <w:lang w:val="en-US" w:eastAsia="zh-CN"/>
                    </w:rPr>
                    <w:t>配电室</w:t>
                  </w:r>
                </w:p>
              </w:tc>
              <w:tc>
                <w:tcPr>
                  <w:tcW w:w="2831" w:type="dxa"/>
                  <w:tcBorders>
                    <w:tl2br w:val="nil"/>
                    <w:tr2bl w:val="nil"/>
                  </w:tcBorders>
                  <w:vAlign w:val="center"/>
                </w:tcPr>
                <w:p>
                  <w:pPr>
                    <w:pStyle w:val="41"/>
                    <w:snapToGrid w:val="0"/>
                    <w:jc w:val="center"/>
                    <w:rPr>
                      <w:rFonts w:hint="eastAsia" w:eastAsia="宋体"/>
                      <w:color w:val="auto"/>
                      <w:spacing w:val="6"/>
                      <w:sz w:val="21"/>
                      <w:szCs w:val="21"/>
                      <w:lang w:val="en-US" w:eastAsia="zh-CN"/>
                    </w:rPr>
                  </w:pPr>
                  <w:r>
                    <w:rPr>
                      <w:rFonts w:hint="eastAsia" w:eastAsia="宋体"/>
                      <w:color w:val="auto"/>
                      <w:spacing w:val="6"/>
                      <w:sz w:val="21"/>
                      <w:szCs w:val="21"/>
                      <w:lang w:val="en-US" w:eastAsia="zh-CN"/>
                    </w:rPr>
                    <w:t>13.2</w:t>
                  </w:r>
                  <w:r>
                    <w:rPr>
                      <w:rFonts w:eastAsia="宋体"/>
                      <w:color w:val="auto"/>
                      <w:spacing w:val="6"/>
                      <w:sz w:val="21"/>
                      <w:szCs w:val="21"/>
                    </w:rPr>
                    <w:t>m×</w:t>
                  </w:r>
                  <w:r>
                    <w:rPr>
                      <w:rFonts w:hint="eastAsia" w:eastAsia="宋体"/>
                      <w:color w:val="auto"/>
                      <w:spacing w:val="6"/>
                      <w:sz w:val="21"/>
                      <w:szCs w:val="21"/>
                      <w:lang w:val="en-US" w:eastAsia="zh-CN"/>
                    </w:rPr>
                    <w:t>7.2</w:t>
                  </w:r>
                  <w:r>
                    <w:rPr>
                      <w:rFonts w:eastAsia="宋体"/>
                      <w:color w:val="auto"/>
                      <w:spacing w:val="6"/>
                      <w:sz w:val="21"/>
                      <w:szCs w:val="21"/>
                    </w:rPr>
                    <w:t>m×</w:t>
                  </w:r>
                  <w:r>
                    <w:rPr>
                      <w:rFonts w:hint="eastAsia" w:eastAsia="宋体"/>
                      <w:color w:val="auto"/>
                      <w:spacing w:val="6"/>
                      <w:sz w:val="21"/>
                      <w:szCs w:val="21"/>
                      <w:lang w:val="en-US" w:eastAsia="zh-CN"/>
                    </w:rPr>
                    <w:t>4.2</w:t>
                  </w:r>
                  <w:r>
                    <w:rPr>
                      <w:rFonts w:eastAsia="宋体"/>
                      <w:color w:val="auto"/>
                      <w:spacing w:val="6"/>
                      <w:sz w:val="21"/>
                      <w:szCs w:val="21"/>
                    </w:rPr>
                    <w:t>m</w:t>
                  </w:r>
                </w:p>
              </w:tc>
              <w:tc>
                <w:tcPr>
                  <w:tcW w:w="1256" w:type="dxa"/>
                  <w:tcBorders>
                    <w:tl2br w:val="nil"/>
                    <w:tr2bl w:val="nil"/>
                  </w:tcBorders>
                  <w:vAlign w:val="center"/>
                </w:tcPr>
                <w:p>
                  <w:pPr>
                    <w:pStyle w:val="41"/>
                    <w:snapToGrid w:val="0"/>
                    <w:jc w:val="center"/>
                    <w:rPr>
                      <w:rFonts w:hint="eastAsia" w:eastAsia="宋体"/>
                      <w:color w:val="auto"/>
                      <w:sz w:val="21"/>
                      <w:szCs w:val="21"/>
                      <w:lang w:val="en-US" w:eastAsia="zh-CN"/>
                    </w:rPr>
                  </w:pPr>
                  <w:r>
                    <w:rPr>
                      <w:rFonts w:hint="eastAsia" w:eastAsia="宋体"/>
                      <w:color w:val="auto"/>
                      <w:sz w:val="21"/>
                      <w:szCs w:val="21"/>
                      <w:lang w:val="en-US" w:eastAsia="zh-CN"/>
                    </w:rPr>
                    <w:t>1</w:t>
                  </w:r>
                  <w:r>
                    <w:rPr>
                      <w:rFonts w:eastAsia="宋体"/>
                      <w:color w:val="auto"/>
                      <w:sz w:val="21"/>
                      <w:szCs w:val="21"/>
                    </w:rPr>
                    <w:t>座</w:t>
                  </w:r>
                </w:p>
              </w:tc>
              <w:tc>
                <w:tcPr>
                  <w:tcW w:w="1850" w:type="dxa"/>
                  <w:tcBorders>
                    <w:tl2br w:val="nil"/>
                    <w:tr2bl w:val="nil"/>
                  </w:tcBorders>
                  <w:vAlign w:val="center"/>
                </w:tcPr>
                <w:p>
                  <w:pPr>
                    <w:autoSpaceDE w:val="0"/>
                    <w:autoSpaceDN w:val="0"/>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砖混</w:t>
                  </w:r>
                  <w:r>
                    <w:rPr>
                      <w:rFonts w:ascii="Times New Roman" w:hAnsi="Times New Roman" w:eastAsia="宋体" w:cs="Times New Roman"/>
                      <w:color w:val="auto"/>
                      <w:szCs w:val="21"/>
                    </w:rPr>
                    <w:t>结构</w:t>
                  </w:r>
                </w:p>
              </w:tc>
            </w:tr>
          </w:tbl>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表2-3   主要设备清单</w:t>
            </w:r>
          </w:p>
          <w:tbl>
            <w:tblPr>
              <w:tblStyle w:val="24"/>
              <w:tblW w:w="8090"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0" w:type="dxa"/>
                <w:bottom w:w="0" w:type="dxa"/>
                <w:right w:w="0" w:type="dxa"/>
              </w:tblCellMar>
            </w:tblPr>
            <w:tblGrid>
              <w:gridCol w:w="481"/>
              <w:gridCol w:w="1996"/>
              <w:gridCol w:w="750"/>
              <w:gridCol w:w="672"/>
              <w:gridCol w:w="3244"/>
              <w:gridCol w:w="94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序号</w:t>
                  </w:r>
                </w:p>
              </w:tc>
              <w:tc>
                <w:tcPr>
                  <w:tcW w:w="1996" w:type="dxa"/>
                  <w:tcBorders>
                    <w:tl2br w:val="nil"/>
                    <w:tr2bl w:val="nil"/>
                  </w:tcBorders>
                  <w:vAlign w:val="center"/>
                </w:tcPr>
                <w:p>
                  <w:pPr>
                    <w:autoSpaceDE w:val="0"/>
                    <w:autoSpaceDN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项目</w:t>
                  </w:r>
                </w:p>
              </w:tc>
              <w:tc>
                <w:tcPr>
                  <w:tcW w:w="750" w:type="dxa"/>
                  <w:tcBorders>
                    <w:tl2br w:val="nil"/>
                    <w:tr2bl w:val="nil"/>
                  </w:tcBorders>
                  <w:vAlign w:val="center"/>
                </w:tcPr>
                <w:p>
                  <w:pPr>
                    <w:autoSpaceDE w:val="0"/>
                    <w:autoSpaceDN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数量</w:t>
                  </w:r>
                </w:p>
              </w:tc>
              <w:tc>
                <w:tcPr>
                  <w:tcW w:w="672" w:type="dxa"/>
                  <w:tcBorders>
                    <w:tl2br w:val="nil"/>
                    <w:tr2bl w:val="nil"/>
                  </w:tcBorders>
                  <w:vAlign w:val="center"/>
                </w:tcPr>
                <w:p>
                  <w:pPr>
                    <w:autoSpaceDE w:val="0"/>
                    <w:autoSpaceDN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单位</w:t>
                  </w:r>
                </w:p>
              </w:tc>
              <w:tc>
                <w:tcPr>
                  <w:tcW w:w="3244" w:type="dxa"/>
                  <w:tcBorders>
                    <w:tl2br w:val="nil"/>
                    <w:tr2bl w:val="nil"/>
                  </w:tcBorders>
                  <w:vAlign w:val="center"/>
                </w:tcPr>
                <w:p>
                  <w:pPr>
                    <w:autoSpaceDE w:val="0"/>
                    <w:autoSpaceDN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规格</w:t>
                  </w:r>
                </w:p>
              </w:tc>
              <w:tc>
                <w:tcPr>
                  <w:tcW w:w="947" w:type="dxa"/>
                  <w:tcBorders>
                    <w:tl2br w:val="nil"/>
                    <w:tr2bl w:val="nil"/>
                  </w:tcBorders>
                  <w:vAlign w:val="center"/>
                </w:tcPr>
                <w:p>
                  <w:pPr>
                    <w:autoSpaceDE w:val="0"/>
                    <w:autoSpaceDN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潜污泵</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3</w:t>
                  </w:r>
                </w:p>
              </w:tc>
              <w:tc>
                <w:tcPr>
                  <w:tcW w:w="672"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Q=</w:t>
                  </w:r>
                  <w:r>
                    <w:rPr>
                      <w:rFonts w:hint="eastAsia" w:ascii="Times New Roman" w:hAnsi="Times New Roman" w:eastAsia="宋体" w:cs="Times New Roman"/>
                      <w:color w:val="auto"/>
                      <w:szCs w:val="21"/>
                      <w:lang w:val="en-US" w:eastAsia="zh-CN"/>
                    </w:rPr>
                    <w:t>770</w:t>
                  </w:r>
                  <w:r>
                    <w:rPr>
                      <w:rFonts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3</w:t>
                  </w:r>
                  <w:r>
                    <w:rPr>
                      <w:rFonts w:ascii="Times New Roman" w:hAnsi="Times New Roman" w:eastAsia="宋体" w:cs="Times New Roman"/>
                      <w:color w:val="auto"/>
                      <w:szCs w:val="21"/>
                    </w:rPr>
                    <w:t>/h,H=</w:t>
                  </w:r>
                  <w:r>
                    <w:rPr>
                      <w:rFonts w:hint="eastAsia" w:ascii="Times New Roman" w:hAnsi="Times New Roman" w:eastAsia="宋体" w:cs="Times New Roman"/>
                      <w:color w:val="auto"/>
                      <w:szCs w:val="21"/>
                      <w:lang w:val="en-US" w:eastAsia="zh-CN"/>
                    </w:rPr>
                    <w:t>10</w:t>
                  </w:r>
                  <w:r>
                    <w:rPr>
                      <w:rFonts w:ascii="Times New Roman" w:hAnsi="Times New Roman" w:eastAsia="宋体" w:cs="Times New Roman"/>
                      <w:color w:val="auto"/>
                      <w:szCs w:val="21"/>
                    </w:rPr>
                    <w:t>m,N=</w:t>
                  </w:r>
                  <w:r>
                    <w:rPr>
                      <w:rFonts w:hint="eastAsia" w:ascii="Times New Roman" w:hAnsi="Times New Roman" w:eastAsia="宋体" w:cs="Times New Roman"/>
                      <w:color w:val="auto"/>
                      <w:szCs w:val="21"/>
                      <w:lang w:val="en-US" w:eastAsia="zh-CN"/>
                    </w:rPr>
                    <w:t>37</w:t>
                  </w:r>
                  <w:r>
                    <w:rPr>
                      <w:rFonts w:ascii="Times New Roman" w:hAnsi="Times New Roman" w:eastAsia="宋体" w:cs="Times New Roman"/>
                      <w:color w:val="auto"/>
                      <w:szCs w:val="21"/>
                    </w:rPr>
                    <w:t>kW</w:t>
                  </w:r>
                </w:p>
              </w:tc>
              <w:tc>
                <w:tcPr>
                  <w:tcW w:w="947"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2用1备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回转式格栅除污机</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2 </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套</w:t>
                  </w:r>
                </w:p>
              </w:tc>
              <w:tc>
                <w:tcPr>
                  <w:tcW w:w="3244"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B=1.0m，</w:t>
                  </w:r>
                  <w:r>
                    <w:rPr>
                      <w:rFonts w:hint="eastAsia" w:ascii="Times New Roman" w:hAnsi="Times New Roman" w:eastAsia="宋体" w:cs="Times New Roman"/>
                      <w:color w:val="auto"/>
                      <w:szCs w:val="21"/>
                      <w:lang w:val="en-US" w:eastAsia="zh-CN"/>
                    </w:rPr>
                    <w:t>b</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20</w:t>
                  </w:r>
                  <w:r>
                    <w:rPr>
                      <w:rFonts w:ascii="Times New Roman" w:hAnsi="Times New Roman" w:eastAsia="宋体" w:cs="Times New Roman"/>
                      <w:color w:val="auto"/>
                      <w:szCs w:val="21"/>
                    </w:rPr>
                    <w:t>m</w:t>
                  </w:r>
                  <w:r>
                    <w:rPr>
                      <w:rFonts w:hint="eastAsia" w:ascii="Times New Roman" w:hAnsi="Times New Roman" w:eastAsia="宋体" w:cs="Times New Roman"/>
                      <w:color w:val="auto"/>
                      <w:szCs w:val="21"/>
                      <w:lang w:val="en-US" w:eastAsia="zh-CN"/>
                    </w:rPr>
                    <w:t>m</w:t>
                  </w:r>
                  <w:r>
                    <w:rPr>
                      <w:rFonts w:hint="eastAsia" w:ascii="Times New Roman" w:hAnsi="Times New Roman" w:eastAsia="宋体" w:cs="Times New Roman"/>
                      <w:color w:val="auto"/>
                      <w:szCs w:val="21"/>
                      <w:lang w:eastAsia="zh-CN"/>
                    </w:rPr>
                    <w:t>，</w:t>
                  </w:r>
                </w:p>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N=</w:t>
                  </w:r>
                  <w:r>
                    <w:rPr>
                      <w:rFonts w:hint="eastAsia" w:ascii="Times New Roman" w:hAnsi="Times New Roman" w:eastAsia="宋体" w:cs="Times New Roman"/>
                      <w:color w:val="auto"/>
                      <w:szCs w:val="21"/>
                      <w:lang w:val="en-US" w:eastAsia="zh-CN"/>
                    </w:rPr>
                    <w:t>2.2</w:t>
                  </w:r>
                  <w:r>
                    <w:rPr>
                      <w:rFonts w:ascii="Times New Roman" w:hAnsi="Times New Roman" w:eastAsia="宋体" w:cs="Times New Roman"/>
                      <w:color w:val="auto"/>
                      <w:szCs w:val="21"/>
                    </w:rPr>
                    <w:t>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3</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螺旋输送机</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DN320，</w:t>
                  </w:r>
                  <w:r>
                    <w:rPr>
                      <w:rFonts w:hint="default" w:ascii="Times New Roman" w:hAnsi="Times New Roman" w:eastAsia="宋体" w:cs="Times New Roman"/>
                      <w:color w:val="auto"/>
                      <w:szCs w:val="21"/>
                      <w:lang w:val="en-US" w:eastAsia="zh-CN"/>
                    </w:rPr>
                    <w:t>L=6m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N=2.2kW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栅渣压榨机</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B=500，</w:t>
                  </w:r>
                  <w:r>
                    <w:rPr>
                      <w:rFonts w:hint="default" w:ascii="Times New Roman" w:hAnsi="Times New Roman" w:eastAsia="宋体" w:cs="Times New Roman"/>
                      <w:color w:val="auto"/>
                      <w:szCs w:val="21"/>
                      <w:lang w:val="en-US" w:eastAsia="zh-CN"/>
                    </w:rPr>
                    <w:t>N=2.2kW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5</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镶铜铸铁闸门</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400×</w:t>
                  </w:r>
                  <w:r>
                    <w:rPr>
                      <w:rFonts w:hint="default" w:ascii="Times New Roman" w:hAnsi="Times New Roman" w:eastAsia="宋体" w:cs="Times New Roman"/>
                      <w:color w:val="auto"/>
                      <w:szCs w:val="21"/>
                      <w:lang w:val="en-US" w:eastAsia="zh-CN"/>
                    </w:rPr>
                    <w:t>400mm</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lang w:val="en-US" w:eastAsia="zh-CN"/>
                    </w:rPr>
                  </w:pPr>
                  <w:r>
                    <w:rPr>
                      <w:rFonts w:ascii="Times New Roman" w:hAnsi="Times New Roman" w:eastAsia="宋体" w:cs="Times New Roman"/>
                      <w:color w:val="auto"/>
                      <w:szCs w:val="21"/>
                      <w:lang w:val="en-US" w:eastAsia="zh-CN"/>
                    </w:rPr>
                    <w:t>网板式内进流细格栅</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lang w:val="en-US" w:eastAsia="zh-CN"/>
                    </w:rPr>
                  </w:pPr>
                  <w:r>
                    <w:rPr>
                      <w:rFonts w:ascii="Times New Roman" w:hAnsi="Times New Roman" w:eastAsia="宋体" w:cs="Times New Roman"/>
                      <w:color w:val="auto"/>
                      <w:szCs w:val="21"/>
                      <w:lang w:val="en-US" w:eastAsia="zh-CN"/>
                    </w:rPr>
                    <w:t>B=1.4m，</w:t>
                  </w:r>
                  <w:r>
                    <w:rPr>
                      <w:rFonts w:hint="default" w:ascii="Times New Roman" w:hAnsi="Times New Roman" w:eastAsia="宋体" w:cs="Times New Roman"/>
                      <w:color w:val="auto"/>
                      <w:szCs w:val="21"/>
                      <w:lang w:val="en-US" w:eastAsia="zh-CN"/>
                    </w:rPr>
                    <w:t>b=4mm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N=1.5kW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lang w:val="en-US" w:eastAsia="zh-CN"/>
                    </w:rPr>
                  </w:pPr>
                  <w:r>
                    <w:rPr>
                      <w:rFonts w:ascii="Times New Roman" w:hAnsi="Times New Roman" w:eastAsia="宋体" w:cs="Times New Roman"/>
                      <w:color w:val="auto"/>
                      <w:szCs w:val="21"/>
                      <w:lang w:val="en-US" w:eastAsia="zh-CN"/>
                    </w:rPr>
                    <w:t>栅渣压榨机</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lang w:val="en-US" w:eastAsia="zh-CN"/>
                    </w:rPr>
                  </w:pPr>
                  <w:r>
                    <w:rPr>
                      <w:rFonts w:ascii="Times New Roman" w:hAnsi="Times New Roman" w:eastAsia="宋体" w:cs="Times New Roman"/>
                      <w:color w:val="auto"/>
                      <w:szCs w:val="21"/>
                      <w:lang w:val="en-US" w:eastAsia="zh-CN"/>
                    </w:rPr>
                    <w:t>N=2.2kW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格栅冲洗泵</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Q=9m3/h，</w:t>
                  </w:r>
                  <w:r>
                    <w:rPr>
                      <w:rFonts w:hint="default" w:ascii="Times New Roman" w:hAnsi="Times New Roman" w:eastAsia="宋体" w:cs="Times New Roman"/>
                      <w:color w:val="auto"/>
                      <w:szCs w:val="21"/>
                      <w:lang w:val="en-US" w:eastAsia="zh-CN"/>
                    </w:rPr>
                    <w:t>H=70m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N=3kW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1用1备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w:t>
                  </w:r>
                </w:p>
              </w:tc>
              <w:tc>
                <w:tcPr>
                  <w:tcW w:w="1996"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rPr>
                  </w:pPr>
                  <w:r>
                    <w:rPr>
                      <w:rFonts w:ascii="Times New Roman" w:hAnsi="Times New Roman" w:eastAsia="宋体" w:cs="Times New Roman"/>
                      <w:color w:val="auto"/>
                      <w:szCs w:val="21"/>
                      <w:lang w:val="en-US" w:eastAsia="zh-CN"/>
                    </w:rPr>
                    <w:t>不锈钢组合式水</w:t>
                  </w:r>
                  <w:r>
                    <w:rPr>
                      <w:rFonts w:hint="eastAsia" w:ascii="Times New Roman" w:hAnsi="Times New Roman" w:eastAsia="宋体" w:cs="Times New Roman"/>
                      <w:color w:val="auto"/>
                      <w:szCs w:val="21"/>
                      <w:lang w:val="en-US" w:eastAsia="zh-CN"/>
                    </w:rPr>
                    <w:t>箱</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1</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2m×</w:t>
                  </w:r>
                  <w:r>
                    <w:rPr>
                      <w:rFonts w:hint="default" w:ascii="Times New Roman" w:hAnsi="Times New Roman" w:eastAsia="宋体" w:cs="Times New Roman"/>
                      <w:color w:val="auto"/>
                      <w:szCs w:val="21"/>
                      <w:lang w:val="en-US" w:eastAsia="zh-CN"/>
                    </w:rPr>
                    <w:t>2m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3m</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511"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罗茨风机</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Q=5.5m</w:t>
                  </w:r>
                  <w:r>
                    <w:rPr>
                      <w:rFonts w:ascii="Times New Roman" w:hAnsi="Times New Roman" w:eastAsia="宋体" w:cs="Times New Roman"/>
                      <w:color w:val="auto"/>
                      <w:szCs w:val="21"/>
                      <w:vertAlign w:val="superscript"/>
                      <w:lang w:val="en-US" w:eastAsia="zh-CN"/>
                    </w:rPr>
                    <w:t>3</w:t>
                  </w:r>
                  <w:r>
                    <w:rPr>
                      <w:rFonts w:ascii="Times New Roman" w:hAnsi="Times New Roman" w:eastAsia="宋体" w:cs="Times New Roman"/>
                      <w:color w:val="auto"/>
                      <w:szCs w:val="21"/>
                      <w:lang w:val="en-US" w:eastAsia="zh-CN"/>
                    </w:rPr>
                    <w:t>/min ，</w:t>
                  </w:r>
                  <w:r>
                    <w:rPr>
                      <w:rFonts w:hint="default" w:ascii="Times New Roman" w:hAnsi="Times New Roman" w:eastAsia="宋体" w:cs="Times New Roman"/>
                      <w:color w:val="auto"/>
                      <w:szCs w:val="21"/>
                      <w:lang w:val="en-US" w:eastAsia="zh-CN"/>
                    </w:rPr>
                    <w:t>P=49Pa</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N=7.5kW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1用1备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不锈钢渠道闸</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B</w:t>
                  </w:r>
                  <w:r>
                    <w:rPr>
                      <w:rFonts w:hint="eastAsia" w:ascii="Times New Roman" w:hAnsi="Times New Roman" w:eastAsia="宋体" w:cs="Times New Roman"/>
                      <w:color w:val="auto"/>
                      <w:szCs w:val="21"/>
                      <w:lang w:val="en-US" w:eastAsia="zh-CN"/>
                    </w:rPr>
                    <w:t>=</w:t>
                  </w:r>
                  <w:r>
                    <w:rPr>
                      <w:rFonts w:ascii="Times New Roman" w:hAnsi="Times New Roman" w:eastAsia="宋体" w:cs="Times New Roman"/>
                      <w:color w:val="auto"/>
                      <w:szCs w:val="21"/>
                      <w:lang w:val="en-US" w:eastAsia="zh-CN"/>
                    </w:rPr>
                    <w:t>1400</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H</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1600</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移动式刮砂桥</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60m³/h，</w:t>
                  </w:r>
                  <w:r>
                    <w:rPr>
                      <w:rFonts w:hint="default" w:ascii="Times New Roman" w:hAnsi="Times New Roman" w:eastAsia="宋体" w:cs="Times New Roman"/>
                      <w:color w:val="auto"/>
                      <w:szCs w:val="21"/>
                      <w:lang w:val="en-US" w:eastAsia="zh-CN"/>
                    </w:rPr>
                    <w:t>7m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4.5kW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砂水分离器</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12</w:t>
                  </w:r>
                  <w:r>
                    <w:rPr>
                      <w:rFonts w:hint="eastAsia" w:ascii="Times New Roman" w:hAnsi="Times New Roman" w:eastAsia="宋体" w:cs="Times New Roman"/>
                      <w:color w:val="auto"/>
                      <w:szCs w:val="21"/>
                      <w:lang w:val="en-US" w:eastAsia="zh-CN"/>
                    </w:rPr>
                    <w:t>~</w:t>
                  </w:r>
                  <w:r>
                    <w:rPr>
                      <w:rFonts w:ascii="Times New Roman" w:hAnsi="Times New Roman" w:eastAsia="宋体" w:cs="Times New Roman"/>
                      <w:color w:val="auto"/>
                      <w:szCs w:val="21"/>
                      <w:lang w:val="en-US" w:eastAsia="zh-CN"/>
                    </w:rPr>
                    <w:t>30L/s，</w:t>
                  </w:r>
                  <w:r>
                    <w:rPr>
                      <w:rFonts w:hint="default" w:ascii="Times New Roman" w:hAnsi="Times New Roman" w:eastAsia="宋体" w:cs="Times New Roman"/>
                      <w:color w:val="auto"/>
                      <w:szCs w:val="21"/>
                      <w:lang w:val="en-US" w:eastAsia="zh-CN"/>
                    </w:rPr>
                    <w:t>φ350</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0.75kW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不锈钢渠道闸</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 xml:space="preserve">B1400 </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H1600</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电动撇渣管</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DN200，</w:t>
                  </w:r>
                  <w:r>
                    <w:rPr>
                      <w:rFonts w:hint="default" w:ascii="Times New Roman" w:hAnsi="Times New Roman" w:eastAsia="宋体" w:cs="Times New Roman"/>
                      <w:color w:val="auto"/>
                      <w:szCs w:val="21"/>
                      <w:lang w:val="en-US" w:eastAsia="zh-CN"/>
                    </w:rPr>
                    <w:t>1.5kW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周边传动刮泥机</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Φ18m，</w:t>
                  </w:r>
                  <w:r>
                    <w:rPr>
                      <w:rFonts w:hint="default" w:ascii="Times New Roman" w:hAnsi="Times New Roman" w:eastAsia="宋体" w:cs="Times New Roman"/>
                      <w:color w:val="auto"/>
                      <w:szCs w:val="21"/>
                      <w:lang w:val="en-US" w:eastAsia="zh-CN"/>
                    </w:rPr>
                    <w:t>0.37kW×2</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浮渣挡板及出水堰 板</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无堵塞离心泵</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11m³/h，</w:t>
                  </w:r>
                  <w:r>
                    <w:rPr>
                      <w:rFonts w:hint="default" w:ascii="Times New Roman" w:hAnsi="Times New Roman" w:eastAsia="宋体" w:cs="Times New Roman"/>
                      <w:color w:val="auto"/>
                      <w:szCs w:val="21"/>
                      <w:lang w:val="en-US" w:eastAsia="zh-CN"/>
                    </w:rPr>
                    <w:t>25m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1.1kW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1用1备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立式涡轮搅拌器</w:t>
                  </w:r>
                </w:p>
              </w:tc>
              <w:tc>
                <w:tcPr>
                  <w:tcW w:w="750"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1.5kW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潜水推进器</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8</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2.2kW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1</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内回流泵</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845m³</w:t>
                  </w:r>
                  <w:r>
                    <w:rPr>
                      <w:rFonts w:hint="default" w:ascii="Times New Roman" w:hAnsi="Times New Roman" w:eastAsia="宋体" w:cs="Times New Roman"/>
                      <w:color w:val="auto"/>
                      <w:szCs w:val="21"/>
                      <w:lang w:val="en-US" w:eastAsia="zh-CN"/>
                    </w:rPr>
                    <w:t>/h</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1m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37kW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2</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管式微孔曝气器</w:t>
                  </w:r>
                </w:p>
              </w:tc>
              <w:tc>
                <w:tcPr>
                  <w:tcW w:w="750"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3000</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6</w:t>
                  </w:r>
                  <w:r>
                    <w:rPr>
                      <w:rFonts w:hint="eastAsia" w:ascii="Times New Roman" w:hAnsi="Times New Roman" w:eastAsia="宋体" w:cs="Times New Roman"/>
                      <w:color w:val="auto"/>
                      <w:szCs w:val="21"/>
                      <w:lang w:val="en-US" w:eastAsia="zh-CN"/>
                    </w:rPr>
                    <w:t>~</w:t>
                  </w:r>
                  <w:r>
                    <w:rPr>
                      <w:rFonts w:ascii="Times New Roman" w:hAnsi="Times New Roman" w:eastAsia="宋体" w:cs="Times New Roman"/>
                      <w:color w:val="auto"/>
                      <w:szCs w:val="21"/>
                      <w:lang w:val="en-US" w:eastAsia="zh-CN"/>
                    </w:rPr>
                    <w:t>8m³</w:t>
                  </w:r>
                  <w:r>
                    <w:rPr>
                      <w:rFonts w:hint="default" w:ascii="Times New Roman" w:hAnsi="Times New Roman" w:eastAsia="宋体" w:cs="Times New Roman"/>
                      <w:color w:val="auto"/>
                      <w:szCs w:val="21"/>
                      <w:lang w:val="en-US" w:eastAsia="zh-CN"/>
                    </w:rPr>
                    <w:t>/</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h·</w:t>
                  </w:r>
                  <w:r>
                    <w:rPr>
                      <w:rFonts w:ascii="Times New Roman" w:hAnsi="Times New Roman" w:eastAsia="宋体" w:cs="Times New Roman"/>
                      <w:color w:val="auto"/>
                      <w:szCs w:val="21"/>
                      <w:lang w:val="en-US" w:eastAsia="zh-CN"/>
                    </w:rPr>
                    <w:t>个）</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3</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电动空气调节蝶阀</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DN600，</w:t>
                  </w:r>
                  <w:r>
                    <w:rPr>
                      <w:rFonts w:hint="default" w:ascii="Times New Roman" w:hAnsi="Times New Roman" w:eastAsia="宋体" w:cs="Times New Roman"/>
                      <w:color w:val="auto"/>
                      <w:szCs w:val="21"/>
                      <w:lang w:val="en-US" w:eastAsia="zh-CN"/>
                    </w:rPr>
                    <w:t>1.0MPa</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0.37kW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4</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周边传动刮泥机</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Φ28m，</w:t>
                  </w:r>
                  <w:r>
                    <w:rPr>
                      <w:rFonts w:hint="default" w:ascii="Times New Roman" w:hAnsi="Times New Roman" w:eastAsia="宋体" w:cs="Times New Roman"/>
                      <w:color w:val="auto"/>
                      <w:szCs w:val="21"/>
                      <w:lang w:val="en-US" w:eastAsia="zh-CN"/>
                    </w:rPr>
                    <w:t>0.37kW×2</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5</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回流污泥泵</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770m³</w:t>
                  </w:r>
                  <w:r>
                    <w:rPr>
                      <w:rFonts w:hint="default" w:ascii="Times New Roman" w:hAnsi="Times New Roman" w:eastAsia="宋体" w:cs="Times New Roman"/>
                      <w:color w:val="auto"/>
                      <w:szCs w:val="21"/>
                      <w:lang w:val="en-US" w:eastAsia="zh-CN"/>
                    </w:rPr>
                    <w:t>/h</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5.5m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22kW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6</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剩余污泥泵</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30m³</w:t>
                  </w:r>
                  <w:r>
                    <w:rPr>
                      <w:rFonts w:hint="default" w:ascii="Times New Roman" w:hAnsi="Times New Roman" w:eastAsia="宋体" w:cs="Times New Roman"/>
                      <w:color w:val="auto"/>
                      <w:szCs w:val="21"/>
                      <w:lang w:val="en-US" w:eastAsia="zh-CN"/>
                    </w:rPr>
                    <w:t>/h</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15m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3kW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4"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7</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潜污泵</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3</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770m³</w:t>
                  </w:r>
                  <w:r>
                    <w:rPr>
                      <w:rFonts w:hint="default" w:ascii="Times New Roman" w:hAnsi="Times New Roman" w:eastAsia="宋体" w:cs="Times New Roman"/>
                      <w:color w:val="auto"/>
                      <w:szCs w:val="21"/>
                      <w:lang w:val="en-US" w:eastAsia="zh-CN"/>
                    </w:rPr>
                    <w:t>/h</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8m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25kW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28</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电动葫芦</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1"/>
                      <w:lang w:val="en-US" w:eastAsia="zh-CN"/>
                    </w:rPr>
                    <w:t>1</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adjustRightIn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2 吨，</w:t>
                  </w:r>
                  <w:r>
                    <w:rPr>
                      <w:rFonts w:hint="default" w:ascii="Times New Roman" w:hAnsi="Times New Roman" w:eastAsia="宋体" w:cs="Times New Roman"/>
                      <w:color w:val="auto"/>
                      <w:szCs w:val="21"/>
                      <w:lang w:val="en-US" w:eastAsia="zh-CN"/>
                    </w:rPr>
                    <w:t>3kW</w:t>
                  </w:r>
                </w:p>
              </w:tc>
              <w:tc>
                <w:tcPr>
                  <w:tcW w:w="947" w:type="dxa"/>
                  <w:tcBorders>
                    <w:tl2br w:val="nil"/>
                    <w:tr2bl w:val="nil"/>
                  </w:tcBorders>
                  <w:vAlign w:val="center"/>
                </w:tcPr>
                <w:p>
                  <w:pPr>
                    <w:autoSpaceDE w:val="0"/>
                    <w:autoSpaceDN w:val="0"/>
                    <w:adjustRightInd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29</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蝶阀</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1"/>
                      <w:lang w:val="en-US" w:eastAsia="zh-CN"/>
                    </w:rPr>
                    <w:t>3</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DN600，</w:t>
                  </w:r>
                  <w:r>
                    <w:rPr>
                      <w:rFonts w:hint="default" w:ascii="Times New Roman" w:hAnsi="Times New Roman" w:eastAsia="宋体" w:cs="Times New Roman"/>
                      <w:color w:val="auto"/>
                      <w:szCs w:val="21"/>
                      <w:lang w:val="en-US" w:eastAsia="zh-CN"/>
                    </w:rPr>
                    <w:t>0.37kW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搅拌器</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1"/>
                      <w:lang w:val="en-US" w:eastAsia="zh-CN"/>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3kW，变频</w:t>
                  </w:r>
                </w:p>
              </w:tc>
              <w:tc>
                <w:tcPr>
                  <w:tcW w:w="947" w:type="dxa"/>
                  <w:tcBorders>
                    <w:tl2br w:val="nil"/>
                    <w:tr2bl w:val="nil"/>
                  </w:tcBorders>
                  <w:vAlign w:val="center"/>
                </w:tcPr>
                <w:p>
                  <w:pPr>
                    <w:autoSpaceDE w:val="0"/>
                    <w:autoSpaceDN w:val="0"/>
                    <w:adjustRightInd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1</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搅拌器</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lang w:val="en-US" w:eastAsia="zh-CN"/>
                    </w:rPr>
                    <w:t>1</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adjustRightInd w:val="0"/>
                    <w:ind w:left="0" w:leftChars="0" w:right="0" w:rightChars="0" w:firstLine="0" w:firstLineChars="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15kW，变频</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2</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中心传动刮泥机</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Φ10m，</w:t>
                  </w:r>
                  <w:r>
                    <w:rPr>
                      <w:rFonts w:hint="default" w:ascii="Times New Roman" w:hAnsi="Times New Roman" w:eastAsia="宋体" w:cs="Times New Roman"/>
                      <w:color w:val="auto"/>
                      <w:szCs w:val="21"/>
                      <w:lang w:val="en-US" w:eastAsia="zh-CN"/>
                    </w:rPr>
                    <w:t>0.75kW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转子泵</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60m³</w:t>
                  </w:r>
                  <w:r>
                    <w:rPr>
                      <w:rFonts w:hint="default" w:ascii="Times New Roman" w:hAnsi="Times New Roman" w:eastAsia="宋体" w:cs="Times New Roman"/>
                      <w:color w:val="auto"/>
                      <w:szCs w:val="21"/>
                      <w:lang w:val="en-US" w:eastAsia="zh-CN"/>
                    </w:rPr>
                    <w:t>/h</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0.2MPa</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15kW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4</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斜管</w:t>
                  </w:r>
                </w:p>
              </w:tc>
              <w:tc>
                <w:tcPr>
                  <w:tcW w:w="750"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130</w:t>
                  </w:r>
                </w:p>
              </w:tc>
              <w:tc>
                <w:tcPr>
                  <w:tcW w:w="672"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vertAlign w:val="superscript"/>
                      <w:lang w:val="en-US" w:eastAsia="zh-CN"/>
                    </w:rPr>
                  </w:pPr>
                  <w:r>
                    <w:rPr>
                      <w:rFonts w:hint="eastAsia" w:ascii="Times New Roman" w:hAnsi="Times New Roman" w:eastAsia="宋体" w:cs="Times New Roman"/>
                      <w:color w:val="auto"/>
                      <w:szCs w:val="21"/>
                      <w:lang w:val="en-US" w:eastAsia="zh-CN"/>
                    </w:rPr>
                    <w:t>m</w:t>
                  </w:r>
                  <w:r>
                    <w:rPr>
                      <w:rFonts w:hint="eastAsia" w:ascii="Times New Roman" w:hAnsi="Times New Roman" w:eastAsia="宋体" w:cs="Times New Roman"/>
                      <w:color w:val="auto"/>
                      <w:szCs w:val="21"/>
                      <w:vertAlign w:val="superscript"/>
                      <w:lang w:val="en-US" w:eastAsia="zh-CN"/>
                    </w:rPr>
                    <w:t>3</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Φ60mm，</w:t>
                  </w:r>
                  <w:r>
                    <w:rPr>
                      <w:rFonts w:hint="default" w:ascii="Times New Roman" w:hAnsi="Times New Roman" w:eastAsia="宋体" w:cs="Times New Roman"/>
                      <w:color w:val="auto"/>
                      <w:szCs w:val="21"/>
                      <w:lang w:val="en-US" w:eastAsia="zh-CN"/>
                    </w:rPr>
                    <w:t>L=1m</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5</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PAC 加药装置</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lang w:val="en-US" w:eastAsia="zh-CN"/>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20m³</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1用1备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6</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PAM 加药装置</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cs="Times New Roman"/>
                      <w:color w:val="auto"/>
                      <w:kern w:val="0"/>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600L/h，</w:t>
                  </w:r>
                  <w:r>
                    <w:rPr>
                      <w:rFonts w:hint="default" w:ascii="Times New Roman" w:hAnsi="Times New Roman" w:eastAsia="宋体" w:cs="Times New Roman"/>
                      <w:color w:val="auto"/>
                      <w:szCs w:val="21"/>
                      <w:lang w:val="en-US" w:eastAsia="zh-CN"/>
                    </w:rPr>
                    <w:t>30m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0.75kW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1用1备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7</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二氧化氯发生器</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1"/>
                      <w:lang w:val="en-US" w:eastAsia="zh-CN"/>
                    </w:rPr>
                    <w:t>5</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产氯量 5kg/h，</w:t>
                  </w:r>
                  <w:r>
                    <w:rPr>
                      <w:rFonts w:hint="default" w:ascii="Times New Roman" w:hAnsi="Times New Roman" w:eastAsia="宋体" w:cs="Times New Roman"/>
                      <w:color w:val="auto"/>
                      <w:szCs w:val="21"/>
                      <w:lang w:val="en-US" w:eastAsia="zh-CN"/>
                    </w:rPr>
                    <w:t>N=3kW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w:t>
                  </w:r>
                  <w:r>
                    <w:rPr>
                      <w:rFonts w:ascii="Times New Roman" w:hAnsi="Times New Roman" w:eastAsia="宋体" w:cs="Times New Roman"/>
                      <w:color w:val="auto"/>
                      <w:szCs w:val="21"/>
                    </w:rPr>
                    <w:t>用1备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8</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二氧化氯报警检测仪</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1</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9</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反冲洗水泵</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cs="Times New Roman"/>
                      <w:color w:val="auto"/>
                      <w:kern w:val="0"/>
                      <w:szCs w:val="21"/>
                    </w:rPr>
                    <w:t>3</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465m³</w:t>
                  </w:r>
                  <w:r>
                    <w:rPr>
                      <w:rFonts w:hint="default" w:ascii="Times New Roman" w:hAnsi="Times New Roman" w:eastAsia="宋体" w:cs="Times New Roman"/>
                      <w:color w:val="auto"/>
                      <w:szCs w:val="21"/>
                      <w:lang w:val="en-US" w:eastAsia="zh-CN"/>
                    </w:rPr>
                    <w:t>/h</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10m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22kW</w:t>
                  </w:r>
                </w:p>
              </w:tc>
              <w:tc>
                <w:tcPr>
                  <w:tcW w:w="947" w:type="dxa"/>
                  <w:tcBorders>
                    <w:tl2br w:val="nil"/>
                    <w:tr2bl w:val="nil"/>
                  </w:tcBorders>
                  <w:vAlign w:val="center"/>
                </w:tcPr>
                <w:p>
                  <w:pPr>
                    <w:autoSpaceDE w:val="0"/>
                    <w:autoSpaceDN w:val="0"/>
                    <w:adjustRightInd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反冲罗茨风机</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cs="Times New Roman"/>
                      <w:color w:val="auto"/>
                      <w:kern w:val="0"/>
                      <w:szCs w:val="21"/>
                    </w:rPr>
                    <w:t>3</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19.3m³</w:t>
                  </w:r>
                  <w:r>
                    <w:rPr>
                      <w:rFonts w:hint="default" w:ascii="Times New Roman" w:hAnsi="Times New Roman" w:eastAsia="宋体" w:cs="Times New Roman"/>
                      <w:color w:val="auto"/>
                      <w:szCs w:val="21"/>
                      <w:lang w:val="en-US" w:eastAsia="zh-CN"/>
                    </w:rPr>
                    <w:t>/min</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53.9kPa</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37kW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41</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巴氏计量槽</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1"/>
                      <w:lang w:val="en-US" w:eastAsia="zh-CN"/>
                    </w:rPr>
                    <w:t>1</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喉管宽度 b=0.45m</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镶铜铸铁方闸门</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600×</w:t>
                  </w:r>
                  <w:r>
                    <w:rPr>
                      <w:rFonts w:hint="default" w:ascii="Times New Roman" w:hAnsi="Times New Roman" w:eastAsia="宋体" w:cs="Times New Roman"/>
                      <w:color w:val="auto"/>
                      <w:szCs w:val="21"/>
                      <w:lang w:val="en-US" w:eastAsia="zh-CN"/>
                    </w:rPr>
                    <w:t>600</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1.5kW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w:t>
                  </w:r>
                  <w:r>
                    <w:rPr>
                      <w:rFonts w:ascii="Times New Roman" w:hAnsi="Times New Roman" w:eastAsia="宋体" w:cs="Times New Roman"/>
                      <w:color w:val="auto"/>
                      <w:szCs w:val="21"/>
                    </w:rPr>
                    <w:t>用1备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空气悬浮风机</w:t>
                  </w:r>
                </w:p>
              </w:tc>
              <w:tc>
                <w:tcPr>
                  <w:tcW w:w="750"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kern w:val="0"/>
                      <w:szCs w:val="21"/>
                      <w:lang w:val="en-US" w:eastAsia="zh-CN"/>
                    </w:rPr>
                    <w:t>6</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adjustRightInd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70m³</w:t>
                  </w:r>
                  <w:r>
                    <w:rPr>
                      <w:rFonts w:hint="default" w:ascii="Times New Roman" w:hAnsi="Times New Roman" w:eastAsia="宋体" w:cs="Times New Roman"/>
                      <w:color w:val="auto"/>
                      <w:szCs w:val="21"/>
                      <w:lang w:val="en-US" w:eastAsia="zh-CN"/>
                    </w:rPr>
                    <w:t>/min</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75kPa</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160kW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w:t>
                  </w:r>
                  <w:r>
                    <w:rPr>
                      <w:rFonts w:ascii="Times New Roman" w:hAnsi="Times New Roman" w:eastAsia="宋体" w:cs="Times New Roman"/>
                      <w:color w:val="auto"/>
                      <w:szCs w:val="21"/>
                    </w:rPr>
                    <w:t>用</w:t>
                  </w:r>
                  <w:r>
                    <w:rPr>
                      <w:rFonts w:hint="eastAsia" w:ascii="Times New Roman" w:hAnsi="Times New Roman" w:eastAsia="宋体" w:cs="Times New Roman"/>
                      <w:color w:val="auto"/>
                      <w:szCs w:val="21"/>
                      <w:lang w:val="en-US" w:eastAsia="zh-CN"/>
                    </w:rPr>
                    <w:t>2</w:t>
                  </w:r>
                  <w:r>
                    <w:rPr>
                      <w:rFonts w:ascii="Times New Roman" w:hAnsi="Times New Roman" w:eastAsia="宋体" w:cs="Times New Roman"/>
                      <w:color w:val="auto"/>
                      <w:szCs w:val="21"/>
                    </w:rPr>
                    <w:t>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污泥浓缩机</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Φ18m，</w:t>
                  </w:r>
                  <w:r>
                    <w:rPr>
                      <w:rFonts w:hint="default" w:ascii="Times New Roman" w:hAnsi="Times New Roman" w:eastAsia="宋体" w:cs="Times New Roman"/>
                      <w:color w:val="auto"/>
                      <w:szCs w:val="21"/>
                      <w:lang w:val="en-US" w:eastAsia="zh-CN"/>
                    </w:rPr>
                    <w:t>1.5kW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无堵塞泥浆泵</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cs="Times New Roman"/>
                      <w:color w:val="auto"/>
                      <w:kern w:val="0"/>
                      <w:szCs w:val="21"/>
                    </w:rPr>
                    <w:t>3</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80m³</w:t>
                  </w:r>
                  <w:r>
                    <w:rPr>
                      <w:rFonts w:hint="default" w:ascii="Times New Roman" w:hAnsi="Times New Roman" w:eastAsia="宋体" w:cs="Times New Roman"/>
                      <w:color w:val="auto"/>
                      <w:szCs w:val="21"/>
                      <w:lang w:val="en-US" w:eastAsia="zh-CN"/>
                    </w:rPr>
                    <w:t>/h</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10m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5.5kW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电动单梁悬挂起重 机</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2 吨，</w:t>
                  </w:r>
                  <w:r>
                    <w:rPr>
                      <w:rFonts w:hint="default" w:ascii="Times New Roman" w:hAnsi="Times New Roman" w:eastAsia="宋体" w:cs="Times New Roman"/>
                      <w:color w:val="auto"/>
                      <w:szCs w:val="21"/>
                      <w:lang w:val="en-US" w:eastAsia="zh-CN"/>
                    </w:rPr>
                    <w:t>3kW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板框压滤机</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cs="Times New Roman"/>
                      <w:color w:val="auto"/>
                      <w:kern w:val="0"/>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XMAZGS870/150，</w:t>
                  </w:r>
                  <w:r>
                    <w:rPr>
                      <w:rFonts w:hint="default" w:ascii="Times New Roman" w:hAnsi="Times New Roman" w:eastAsia="宋体" w:cs="Times New Roman"/>
                      <w:color w:val="auto"/>
                      <w:szCs w:val="21"/>
                      <w:lang w:val="en-US" w:eastAsia="zh-CN"/>
                    </w:rPr>
                    <w:t>23kW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低压进泥泵</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cs="Times New Roman"/>
                      <w:color w:val="auto"/>
                      <w:kern w:val="0"/>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80m³</w:t>
                  </w:r>
                  <w:r>
                    <w:rPr>
                      <w:rFonts w:hint="default" w:ascii="Times New Roman" w:hAnsi="Times New Roman" w:eastAsia="宋体" w:cs="Times New Roman"/>
                      <w:color w:val="auto"/>
                      <w:szCs w:val="21"/>
                      <w:lang w:val="en-US" w:eastAsia="zh-CN"/>
                    </w:rPr>
                    <w:t>/h</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0.6MPa</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30kW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49</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高压进泥泵</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cs="Times New Roman"/>
                      <w:color w:val="auto"/>
                      <w:kern w:val="0"/>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35m³</w:t>
                  </w:r>
                  <w:r>
                    <w:rPr>
                      <w:rFonts w:hint="default" w:ascii="Times New Roman" w:hAnsi="Times New Roman" w:eastAsia="宋体" w:cs="Times New Roman"/>
                      <w:color w:val="auto"/>
                      <w:szCs w:val="21"/>
                      <w:lang w:val="en-US" w:eastAsia="zh-CN"/>
                    </w:rPr>
                    <w:t>/h</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1.6MPa</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30kW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加压泵</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cs="Times New Roman"/>
                      <w:color w:val="auto"/>
                      <w:kern w:val="0"/>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adjustRightIn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en-US" w:eastAsia="zh-CN"/>
                    </w:rPr>
                    <w:t>20m³</w:t>
                  </w:r>
                  <w:r>
                    <w:rPr>
                      <w:rFonts w:hint="default" w:ascii="Times New Roman" w:hAnsi="Times New Roman" w:eastAsia="宋体" w:cs="Times New Roman"/>
                      <w:color w:val="auto"/>
                      <w:kern w:val="0"/>
                      <w:szCs w:val="21"/>
                      <w:lang w:val="en-US" w:eastAsia="zh-CN"/>
                    </w:rPr>
                    <w:t>/h</w:t>
                  </w:r>
                  <w:r>
                    <w:rPr>
                      <w:rFonts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120m</w:t>
                  </w:r>
                  <w:r>
                    <w:rPr>
                      <w:rFonts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15kW</w:t>
                  </w:r>
                </w:p>
              </w:tc>
              <w:tc>
                <w:tcPr>
                  <w:tcW w:w="947" w:type="dxa"/>
                  <w:tcBorders>
                    <w:tl2br w:val="nil"/>
                    <w:tr2bl w:val="nil"/>
                  </w:tcBorders>
                  <w:vAlign w:val="center"/>
                </w:tcPr>
                <w:p>
                  <w:pPr>
                    <w:autoSpaceDE w:val="0"/>
                    <w:autoSpaceDN w:val="0"/>
                    <w:adjustRightInd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螺旋输送机</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1"/>
                      <w:lang w:val="en-US" w:eastAsia="zh-CN"/>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10m³</w:t>
                  </w:r>
                  <w:r>
                    <w:rPr>
                      <w:rFonts w:hint="default" w:ascii="Times New Roman" w:hAnsi="Times New Roman" w:eastAsia="宋体" w:cs="Times New Roman"/>
                      <w:color w:val="auto"/>
                      <w:szCs w:val="21"/>
                      <w:lang w:val="en-US" w:eastAsia="zh-CN"/>
                    </w:rPr>
                    <w:t>/h</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4kW</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L15m</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水平螺旋输送机</w:t>
                  </w:r>
                </w:p>
              </w:tc>
              <w:tc>
                <w:tcPr>
                  <w:tcW w:w="750"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1"/>
                      <w:lang w:val="en-US" w:eastAsia="zh-CN"/>
                    </w:rPr>
                    <w:t>1</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台</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5.5kW，</w:t>
                  </w:r>
                  <w:r>
                    <w:rPr>
                      <w:rFonts w:hint="default" w:ascii="Times New Roman" w:hAnsi="Times New Roman" w:eastAsia="宋体" w:cs="Times New Roman"/>
                      <w:color w:val="auto"/>
                      <w:szCs w:val="21"/>
                      <w:lang w:val="en-US" w:eastAsia="zh-CN"/>
                    </w:rPr>
                    <w:t>L18m</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PAM 加药装置</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cs="Times New Roman"/>
                      <w:color w:val="auto"/>
                      <w:kern w:val="0"/>
                      <w:szCs w:val="21"/>
                    </w:rPr>
                    <w:t>2</w:t>
                  </w:r>
                </w:p>
              </w:tc>
              <w:tc>
                <w:tcPr>
                  <w:tcW w:w="672"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套</w:t>
                  </w:r>
                </w:p>
              </w:tc>
              <w:tc>
                <w:tcPr>
                  <w:tcW w:w="3244"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600L/h，</w:t>
                  </w:r>
                  <w:r>
                    <w:rPr>
                      <w:rFonts w:hint="default" w:ascii="Times New Roman" w:hAnsi="Times New Roman" w:eastAsia="宋体" w:cs="Times New Roman"/>
                      <w:color w:val="auto"/>
                      <w:szCs w:val="21"/>
                      <w:lang w:val="en-US" w:eastAsia="zh-CN"/>
                    </w:rPr>
                    <w:t>30m</w:t>
                  </w:r>
                  <w:r>
                    <w:rPr>
                      <w:rFonts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0.75kW</w:t>
                  </w:r>
                </w:p>
              </w:tc>
              <w:tc>
                <w:tcPr>
                  <w:tcW w:w="947"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453" w:hRule="atLeast"/>
              </w:trPr>
              <w:tc>
                <w:tcPr>
                  <w:tcW w:w="481" w:type="dxa"/>
                  <w:tcBorders>
                    <w:tl2br w:val="nil"/>
                    <w:tr2bl w:val="nil"/>
                  </w:tcBorders>
                  <w:vAlign w:val="center"/>
                </w:tcPr>
                <w:p>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w:t>
                  </w:r>
                </w:p>
              </w:tc>
              <w:tc>
                <w:tcPr>
                  <w:tcW w:w="1996" w:type="dxa"/>
                  <w:tcBorders>
                    <w:tl2br w:val="nil"/>
                    <w:tr2bl w:val="nil"/>
                  </w:tcBorders>
                  <w:vAlign w:val="center"/>
                </w:tcPr>
                <w:p>
                  <w:pPr>
                    <w:autoSpaceDE w:val="0"/>
                    <w:autoSpaceDN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en-US" w:eastAsia="zh-CN"/>
                    </w:rPr>
                    <w:t>轴流风机</w:t>
                  </w:r>
                </w:p>
              </w:tc>
              <w:tc>
                <w:tcPr>
                  <w:tcW w:w="750" w:type="dxa"/>
                  <w:tcBorders>
                    <w:tl2br w:val="nil"/>
                    <w:tr2bl w:val="nil"/>
                  </w:tcBorders>
                  <w:vAlign w:val="center"/>
                </w:tcPr>
                <w:p>
                  <w:pPr>
                    <w:autoSpaceDE w:val="0"/>
                    <w:autoSpaceDN w:val="0"/>
                    <w:jc w:val="center"/>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lang w:val="en-US" w:eastAsia="zh-CN"/>
                    </w:rPr>
                    <w:t>1</w:t>
                  </w:r>
                </w:p>
              </w:tc>
              <w:tc>
                <w:tcPr>
                  <w:tcW w:w="672" w:type="dxa"/>
                  <w:tcBorders>
                    <w:tl2br w:val="nil"/>
                    <w:tr2bl w:val="nil"/>
                  </w:tcBorders>
                  <w:vAlign w:val="center"/>
                </w:tcPr>
                <w:p>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1"/>
                      <w:lang w:val="en-US" w:eastAsia="zh-CN"/>
                    </w:rPr>
                    <w:t>批</w:t>
                  </w:r>
                </w:p>
              </w:tc>
              <w:tc>
                <w:tcPr>
                  <w:tcW w:w="3244" w:type="dxa"/>
                  <w:tcBorders>
                    <w:tl2br w:val="nil"/>
                    <w:tr2bl w:val="nil"/>
                  </w:tcBorders>
                  <w:vAlign w:val="center"/>
                </w:tcPr>
                <w:p>
                  <w:pPr>
                    <w:autoSpaceDE w:val="0"/>
                    <w:autoSpaceDN w:val="0"/>
                    <w:adjustRightInd w:val="0"/>
                    <w:ind w:left="0" w:leftChars="0" w:right="0" w:rightChars="0" w:firstLine="0" w:firstLineChars="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en-US" w:eastAsia="zh-CN"/>
                    </w:rPr>
                    <w:t>Q=1550m</w:t>
                  </w:r>
                  <w:r>
                    <w:rPr>
                      <w:rFonts w:ascii="Times New Roman" w:hAnsi="Times New Roman" w:eastAsia="宋体" w:cs="Times New Roman"/>
                      <w:color w:val="auto"/>
                      <w:kern w:val="0"/>
                      <w:szCs w:val="21"/>
                      <w:vertAlign w:val="superscript"/>
                      <w:lang w:val="en-US" w:eastAsia="zh-CN"/>
                    </w:rPr>
                    <w:t>3</w:t>
                  </w:r>
                  <w:r>
                    <w:rPr>
                      <w:rFonts w:ascii="Times New Roman" w:hAnsi="Times New Roman" w:eastAsia="宋体" w:cs="Times New Roman"/>
                      <w:color w:val="auto"/>
                      <w:kern w:val="0"/>
                      <w:szCs w:val="21"/>
                      <w:lang w:val="en-US" w:eastAsia="zh-CN"/>
                    </w:rPr>
                    <w:t>/h，</w:t>
                  </w:r>
                  <w:r>
                    <w:rPr>
                      <w:rFonts w:hint="default" w:ascii="Times New Roman" w:hAnsi="Times New Roman" w:eastAsia="宋体" w:cs="Times New Roman"/>
                      <w:color w:val="auto"/>
                      <w:kern w:val="0"/>
                      <w:szCs w:val="21"/>
                      <w:lang w:val="en-US" w:eastAsia="zh-CN"/>
                    </w:rPr>
                    <w:t>P=45Pa</w:t>
                  </w:r>
                  <w:r>
                    <w:rPr>
                      <w:rFonts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N=50W</w:t>
                  </w:r>
                </w:p>
              </w:tc>
              <w:tc>
                <w:tcPr>
                  <w:tcW w:w="947" w:type="dxa"/>
                  <w:tcBorders>
                    <w:tl2br w:val="nil"/>
                    <w:tr2bl w:val="nil"/>
                  </w:tcBorders>
                  <w:vAlign w:val="center"/>
                </w:tcPr>
                <w:p>
                  <w:pPr>
                    <w:autoSpaceDE w:val="0"/>
                    <w:autoSpaceDN w:val="0"/>
                    <w:adjustRightInd w:val="0"/>
                    <w:jc w:val="center"/>
                    <w:rPr>
                      <w:rFonts w:ascii="Times New Roman" w:hAnsi="Times New Roman" w:eastAsia="宋体" w:cs="Times New Roman"/>
                      <w:color w:val="auto"/>
                      <w:szCs w:val="21"/>
                    </w:rPr>
                  </w:pPr>
                </w:p>
              </w:tc>
            </w:tr>
          </w:tbl>
          <w:p>
            <w:pPr>
              <w:keepNext w:val="0"/>
              <w:keepLines w:val="0"/>
              <w:pageBreakBefore w:val="0"/>
              <w:widowControl w:val="0"/>
              <w:kinsoku/>
              <w:wordWrap/>
              <w:overflowPunct/>
              <w:topLinePunct w:val="0"/>
              <w:autoSpaceDE/>
              <w:autoSpaceDN/>
              <w:bidi w:val="0"/>
              <w:adjustRightInd w:val="0"/>
              <w:snapToGrid w:val="0"/>
              <w:spacing w:before="79" w:beforeLines="25" w:after="79" w:afterLines="25" w:line="360" w:lineRule="auto"/>
              <w:textAlignment w:val="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2.3</w:t>
            </w:r>
            <w:r>
              <w:rPr>
                <w:rFonts w:ascii="Times New Roman" w:hAnsi="Times New Roman" w:eastAsia="宋体" w:cs="Times New Roman"/>
                <w:b/>
                <w:bCs/>
                <w:color w:val="auto"/>
                <w:spacing w:val="6"/>
                <w:sz w:val="24"/>
                <w:szCs w:val="24"/>
              </w:rPr>
              <w:t>水处理工艺、规模及服务范围</w:t>
            </w:r>
          </w:p>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 xml:space="preserve">污水处理工艺、规模：本项目污水处理厂设计处理工艺为：预处理+ </w:t>
            </w:r>
            <w:r>
              <w:rPr>
                <w:rFonts w:hint="eastAsia" w:ascii="Times New Roman" w:hAnsi="Times New Roman" w:eastAsia="宋体" w:cs="Times New Roman"/>
                <w:color w:val="auto"/>
                <w:spacing w:val="6"/>
                <w:sz w:val="24"/>
                <w:szCs w:val="24"/>
                <w:lang w:val="en-US" w:eastAsia="zh-CN"/>
              </w:rPr>
              <w:t>改良</w:t>
            </w:r>
            <w:r>
              <w:rPr>
                <w:rFonts w:ascii="Times New Roman" w:hAnsi="Times New Roman" w:eastAsia="宋体" w:cs="Times New Roman"/>
                <w:color w:val="auto"/>
                <w:spacing w:val="6"/>
                <w:sz w:val="24"/>
                <w:szCs w:val="24"/>
              </w:rPr>
              <w:t>A</w:t>
            </w:r>
            <w:r>
              <w:rPr>
                <w:rFonts w:ascii="Times New Roman" w:hAnsi="Times New Roman" w:eastAsia="宋体" w:cs="Times New Roman"/>
                <w:color w:val="auto"/>
                <w:spacing w:val="6"/>
                <w:sz w:val="24"/>
                <w:szCs w:val="24"/>
                <w:vertAlign w:val="superscript"/>
              </w:rPr>
              <w:t>2</w:t>
            </w:r>
            <w:r>
              <w:rPr>
                <w:rFonts w:ascii="Times New Roman" w:hAnsi="Times New Roman" w:eastAsia="宋体" w:cs="Times New Roman"/>
                <w:color w:val="auto"/>
                <w:spacing w:val="6"/>
                <w:sz w:val="24"/>
                <w:szCs w:val="24"/>
              </w:rPr>
              <w:t>O</w:t>
            </w:r>
            <w:r>
              <w:rPr>
                <w:rFonts w:hint="eastAsia" w:ascii="Times New Roman" w:hAnsi="Times New Roman" w:eastAsia="宋体" w:cs="Times New Roman"/>
                <w:color w:val="auto"/>
                <w:spacing w:val="6"/>
                <w:sz w:val="24"/>
                <w:szCs w:val="24"/>
                <w:lang w:val="en-US" w:eastAsia="zh-CN"/>
              </w:rPr>
              <w:t>生物池+二沉池+高密度沉淀池</w:t>
            </w:r>
            <w:r>
              <w:rPr>
                <w:rFonts w:ascii="Times New Roman" w:hAnsi="Times New Roman" w:eastAsia="宋体" w:cs="Times New Roman"/>
                <w:color w:val="auto"/>
                <w:spacing w:val="6"/>
                <w:sz w:val="24"/>
                <w:szCs w:val="24"/>
              </w:rPr>
              <w:t>+</w:t>
            </w:r>
            <w:r>
              <w:rPr>
                <w:rFonts w:hint="eastAsia" w:ascii="Times New Roman" w:hAnsi="Times New Roman" w:eastAsia="宋体" w:cs="Times New Roman"/>
                <w:color w:val="auto"/>
                <w:spacing w:val="6"/>
                <w:sz w:val="24"/>
                <w:szCs w:val="24"/>
                <w:lang w:val="en-US" w:eastAsia="zh-CN"/>
              </w:rPr>
              <w:t>V型</w:t>
            </w:r>
            <w:r>
              <w:rPr>
                <w:rFonts w:ascii="Times New Roman" w:hAnsi="Times New Roman" w:eastAsia="宋体" w:cs="Times New Roman"/>
                <w:color w:val="auto"/>
                <w:spacing w:val="6"/>
                <w:sz w:val="24"/>
                <w:szCs w:val="24"/>
              </w:rPr>
              <w:t>滤池工艺。污水处理厂处理能力</w:t>
            </w:r>
            <w:r>
              <w:rPr>
                <w:rFonts w:hint="eastAsia" w:ascii="Times New Roman" w:hAnsi="Times New Roman" w:eastAsia="宋体" w:cs="Times New Roman"/>
                <w:color w:val="auto"/>
                <w:spacing w:val="6"/>
                <w:sz w:val="24"/>
                <w:szCs w:val="24"/>
                <w:lang w:val="en-US" w:eastAsia="zh-CN"/>
              </w:rPr>
              <w:t>为3</w:t>
            </w:r>
            <w:r>
              <w:rPr>
                <w:rFonts w:ascii="Times New Roman" w:hAnsi="Times New Roman" w:eastAsia="宋体" w:cs="Times New Roman"/>
                <w:color w:val="auto"/>
                <w:spacing w:val="6"/>
                <w:sz w:val="24"/>
                <w:szCs w:val="24"/>
              </w:rPr>
              <w:t>万m</w:t>
            </w:r>
            <w:r>
              <w:rPr>
                <w:rFonts w:ascii="Times New Roman" w:hAnsi="Times New Roman" w:eastAsia="宋体" w:cs="Times New Roman"/>
                <w:color w:val="auto"/>
                <w:spacing w:val="6"/>
                <w:sz w:val="24"/>
                <w:szCs w:val="24"/>
                <w:vertAlign w:val="superscript"/>
              </w:rPr>
              <w:t>3</w:t>
            </w:r>
            <w:r>
              <w:rPr>
                <w:rFonts w:ascii="Times New Roman" w:hAnsi="Times New Roman" w:eastAsia="宋体" w:cs="Times New Roman"/>
                <w:color w:val="auto"/>
                <w:spacing w:val="6"/>
                <w:sz w:val="24"/>
                <w:szCs w:val="24"/>
              </w:rPr>
              <w:t>/d。</w:t>
            </w:r>
          </w:p>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服务范围：</w:t>
            </w:r>
            <w:r>
              <w:rPr>
                <w:rFonts w:hint="eastAsia" w:ascii="Times New Roman" w:hAnsi="Times New Roman" w:eastAsia="宋体" w:cs="Times New Roman"/>
                <w:color w:val="auto"/>
                <w:spacing w:val="6"/>
                <w:sz w:val="24"/>
                <w:szCs w:val="24"/>
                <w:lang w:val="en-US" w:eastAsia="zh-CN"/>
              </w:rPr>
              <w:t>繁峙县全部城区污水</w:t>
            </w:r>
            <w:r>
              <w:rPr>
                <w:rFonts w:ascii="Times New Roman" w:hAnsi="Times New Roman" w:eastAsia="宋体" w:cs="Times New Roman"/>
                <w:color w:val="auto"/>
                <w:spacing w:val="6"/>
                <w:sz w:val="24"/>
                <w:szCs w:val="24"/>
              </w:rPr>
              <w:t>。</w:t>
            </w:r>
          </w:p>
          <w:p>
            <w:pPr>
              <w:adjustRightInd w:val="0"/>
              <w:snapToGrid w:val="0"/>
              <w:spacing w:line="360" w:lineRule="auto"/>
              <w:ind w:firstLine="504" w:firstLineChars="200"/>
              <w:rPr>
                <w:rFonts w:hint="eastAsia" w:ascii="Times New Roman" w:hAnsi="Times New Roman" w:eastAsia="宋体" w:cs="Times New Roman"/>
                <w:color w:val="auto"/>
                <w:spacing w:val="6"/>
                <w:sz w:val="24"/>
                <w:szCs w:val="24"/>
                <w:lang w:val="en-US" w:eastAsia="zh-CN"/>
              </w:rPr>
            </w:pPr>
            <w:r>
              <w:rPr>
                <w:rFonts w:hint="eastAsia" w:ascii="Times New Roman" w:hAnsi="Times New Roman" w:eastAsia="宋体" w:cs="Times New Roman"/>
                <w:color w:val="auto"/>
                <w:spacing w:val="6"/>
                <w:sz w:val="24"/>
                <w:szCs w:val="24"/>
                <w:lang w:val="en-US" w:eastAsia="zh-CN"/>
              </w:rPr>
              <w:t>回用方案：由《</w:t>
            </w:r>
            <w:bookmarkStart w:id="4" w:name="_Toc11007"/>
            <w:bookmarkStart w:id="5" w:name="_Toc21073"/>
            <w:r>
              <w:rPr>
                <w:rFonts w:hint="eastAsia" w:ascii="Times New Roman" w:hAnsi="Times New Roman" w:eastAsia="宋体" w:cs="Times New Roman"/>
                <w:color w:val="auto"/>
                <w:spacing w:val="6"/>
                <w:sz w:val="24"/>
                <w:szCs w:val="24"/>
                <w:lang w:val="en-US" w:eastAsia="zh-CN"/>
              </w:rPr>
              <w:t>繁峙县城镇污水处理再生水利用</w:t>
            </w:r>
            <w:bookmarkEnd w:id="4"/>
            <w:bookmarkEnd w:id="5"/>
            <w:r>
              <w:rPr>
                <w:rFonts w:hint="eastAsia" w:ascii="Times New Roman" w:hAnsi="Times New Roman" w:eastAsia="宋体" w:cs="Times New Roman"/>
                <w:color w:val="auto"/>
                <w:spacing w:val="6"/>
                <w:sz w:val="24"/>
                <w:szCs w:val="24"/>
                <w:lang w:val="en-US" w:eastAsia="zh-CN"/>
              </w:rPr>
              <w:t>专项规划》可知，繁峙经济技术开发区采用“一区三园”的开发模式，打造装备制造园、农业生物园以及文创物流园。远期随着繁峙县经济技术开发区农业生物园区、文创物流园区建设，共需再生水1.15万m</w:t>
            </w:r>
            <w:r>
              <w:rPr>
                <w:rFonts w:hint="eastAsia" w:ascii="Times New Roman" w:hAnsi="Times New Roman" w:eastAsia="宋体" w:cs="Times New Roman"/>
                <w:color w:val="auto"/>
                <w:spacing w:val="6"/>
                <w:sz w:val="24"/>
                <w:szCs w:val="24"/>
                <w:vertAlign w:val="superscript"/>
                <w:lang w:val="en-US" w:eastAsia="zh-CN"/>
              </w:rPr>
              <w:t>3</w:t>
            </w:r>
            <w:r>
              <w:rPr>
                <w:rFonts w:hint="eastAsia" w:ascii="Times New Roman" w:hAnsi="Times New Roman" w:eastAsia="宋体" w:cs="Times New Roman"/>
                <w:color w:val="auto"/>
                <w:spacing w:val="6"/>
                <w:sz w:val="24"/>
                <w:szCs w:val="24"/>
                <w:lang w:val="en-US" w:eastAsia="zh-CN"/>
              </w:rPr>
              <w:t>/d，规划利用繁峙县第二污水处理厂再生水，将进一步促进繁峙县再生水利用的发展。</w:t>
            </w:r>
          </w:p>
          <w:p>
            <w:pPr>
              <w:adjustRightInd w:val="0"/>
              <w:snapToGrid w:val="0"/>
              <w:spacing w:line="360" w:lineRule="auto"/>
              <w:ind w:firstLine="504" w:firstLineChars="200"/>
              <w:rPr>
                <w:rFonts w:hint="eastAsia" w:ascii="Times New Roman" w:hAnsi="Times New Roman" w:eastAsia="宋体" w:cs="Times New Roman"/>
                <w:color w:val="auto"/>
                <w:spacing w:val="6"/>
                <w:sz w:val="24"/>
                <w:szCs w:val="24"/>
                <w:lang w:val="en-US" w:eastAsia="zh-CN"/>
              </w:rPr>
            </w:pPr>
            <w:r>
              <w:rPr>
                <w:rFonts w:hint="eastAsia" w:ascii="Times New Roman" w:hAnsi="Times New Roman" w:eastAsia="宋体" w:cs="Times New Roman"/>
                <w:color w:val="auto"/>
                <w:spacing w:val="6"/>
                <w:sz w:val="24"/>
                <w:szCs w:val="24"/>
                <w:lang w:val="en-US" w:eastAsia="zh-CN"/>
              </w:rPr>
              <w:t>近期规划从繁峙县第二污水处理厂沿着滨河南路敷设4.3km再生水输水管道，用于城市杂用，每隔1km-1.5km设置取水口向环卫、绿化部门就近提供再生水源。</w:t>
            </w:r>
          </w:p>
          <w:p>
            <w:pPr>
              <w:adjustRightInd w:val="0"/>
              <w:snapToGrid w:val="0"/>
              <w:spacing w:line="360" w:lineRule="auto"/>
              <w:rPr>
                <w:rFonts w:ascii="Times New Roman" w:hAnsi="Times New Roman" w:eastAsia="宋体" w:cs="Times New Roman"/>
                <w:b/>
                <w:bCs/>
                <w:color w:val="auto"/>
                <w:spacing w:val="6"/>
                <w:sz w:val="24"/>
                <w:szCs w:val="24"/>
              </w:rPr>
            </w:pPr>
            <w:r>
              <w:rPr>
                <w:rFonts w:ascii="Times New Roman" w:hAnsi="Times New Roman" w:eastAsia="宋体" w:cs="Times New Roman"/>
                <w:b/>
                <w:bCs/>
                <w:color w:val="auto"/>
                <w:spacing w:val="6"/>
                <w:sz w:val="24"/>
                <w:szCs w:val="24"/>
              </w:rPr>
              <w:t>2.4污水处理厂进水水量及进、出水水质</w:t>
            </w:r>
          </w:p>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1、污水量预测</w:t>
            </w:r>
          </w:p>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（1）计算方法</w:t>
            </w:r>
          </w:p>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进入</w:t>
            </w:r>
            <w:r>
              <w:rPr>
                <w:rFonts w:hint="eastAsia" w:ascii="Times New Roman" w:hAnsi="Times New Roman" w:eastAsia="宋体" w:cs="Times New Roman"/>
                <w:color w:val="auto"/>
                <w:spacing w:val="6"/>
                <w:sz w:val="24"/>
                <w:szCs w:val="24"/>
                <w:lang w:val="en-US" w:eastAsia="zh-CN"/>
              </w:rPr>
              <w:t>城</w:t>
            </w:r>
            <w:r>
              <w:rPr>
                <w:rFonts w:ascii="Times New Roman" w:hAnsi="Times New Roman" w:eastAsia="宋体" w:cs="Times New Roman"/>
                <w:color w:val="auto"/>
                <w:spacing w:val="6"/>
                <w:sz w:val="24"/>
                <w:szCs w:val="24"/>
              </w:rPr>
              <w:t>区</w:t>
            </w:r>
            <w:r>
              <w:rPr>
                <w:rFonts w:hint="eastAsia" w:ascii="Times New Roman" w:hAnsi="Times New Roman" w:eastAsia="宋体" w:cs="Times New Roman"/>
                <w:color w:val="auto"/>
                <w:spacing w:val="6"/>
                <w:sz w:val="24"/>
                <w:szCs w:val="24"/>
                <w:lang w:eastAsia="zh-CN"/>
              </w:rPr>
              <w:t>污水处理厂</w:t>
            </w:r>
            <w:r>
              <w:rPr>
                <w:rFonts w:ascii="Times New Roman" w:hAnsi="Times New Roman" w:eastAsia="宋体" w:cs="Times New Roman"/>
                <w:color w:val="auto"/>
                <w:spacing w:val="6"/>
                <w:sz w:val="24"/>
                <w:szCs w:val="24"/>
              </w:rPr>
              <w:t>的污水主要为居民综合生活污水，对于综合生活污水采用人均综合指标进行预测。</w:t>
            </w:r>
          </w:p>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（2）计算公式</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pacing w:val="6"/>
                <w:sz w:val="24"/>
                <w:szCs w:val="24"/>
                <w:lang w:val="en-US" w:eastAsia="zh-CN"/>
              </w:rPr>
            </w:pPr>
            <w:r>
              <w:rPr>
                <w:rFonts w:hint="eastAsia" w:ascii="Times New Roman" w:hAnsi="Times New Roman" w:eastAsia="宋体" w:cs="Times New Roman"/>
                <w:color w:val="auto"/>
                <w:spacing w:val="6"/>
                <w:sz w:val="24"/>
                <w:szCs w:val="24"/>
                <w:lang w:val="en-US" w:eastAsia="zh-CN"/>
              </w:rPr>
              <w:t>污水产生量=用水量×污水产生系数</w:t>
            </w:r>
          </w:p>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（3）人口预测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04" w:firstLineChars="200"/>
              <w:jc w:val="both"/>
              <w:textAlignment w:val="auto"/>
              <w:rPr>
                <w:rFonts w:ascii="Times New Roman" w:hAnsi="Times New Roman" w:eastAsia="宋体" w:cs="Times New Roman"/>
                <w:color w:val="auto"/>
                <w:spacing w:val="6"/>
                <w:sz w:val="24"/>
                <w:szCs w:val="24"/>
              </w:rPr>
            </w:pPr>
            <w:r>
              <w:rPr>
                <w:rFonts w:hint="eastAsia" w:ascii="Times New Roman" w:hAnsi="Times New Roman" w:eastAsia="宋体" w:cs="Times New Roman"/>
                <w:color w:val="auto"/>
                <w:spacing w:val="6"/>
                <w:sz w:val="24"/>
                <w:szCs w:val="24"/>
                <w:lang w:val="en-US" w:eastAsia="zh-CN"/>
              </w:rPr>
              <w:t>根据《</w:t>
            </w:r>
            <w:r>
              <w:rPr>
                <w:rFonts w:hint="default" w:ascii="Times New Roman" w:hAnsi="Times New Roman" w:eastAsia="宋体" w:cs="Times New Roman"/>
                <w:color w:val="auto"/>
                <w:sz w:val="24"/>
                <w:szCs w:val="24"/>
                <w:lang w:val="en-US" w:eastAsia="zh-CN"/>
              </w:rPr>
              <w:t>繁峙县县城总体规划（2012-2030）</w:t>
            </w:r>
            <w:r>
              <w:rPr>
                <w:rFonts w:hint="eastAsia" w:ascii="Times New Roman" w:hAnsi="Times New Roman" w:eastAsia="宋体" w:cs="Times New Roman"/>
                <w:color w:val="auto"/>
                <w:spacing w:val="6"/>
                <w:sz w:val="24"/>
                <w:szCs w:val="24"/>
                <w:lang w:val="en-US" w:eastAsia="zh-CN"/>
              </w:rPr>
              <w:t>》，县城规划人口</w:t>
            </w:r>
            <w:r>
              <w:rPr>
                <w:rFonts w:ascii="Times New Roman" w:hAnsi="Times New Roman" w:eastAsia="宋体" w:cs="Times New Roman"/>
                <w:color w:val="auto"/>
                <w:spacing w:val="6"/>
                <w:sz w:val="24"/>
                <w:szCs w:val="24"/>
                <w:lang w:val="en-US" w:eastAsia="zh-CN"/>
              </w:rPr>
              <w:t>2030</w:t>
            </w:r>
            <w:r>
              <w:rPr>
                <w:rFonts w:hint="eastAsia" w:ascii="Times New Roman" w:hAnsi="Times New Roman" w:eastAsia="宋体" w:cs="Times New Roman"/>
                <w:color w:val="auto"/>
                <w:spacing w:val="6"/>
                <w:sz w:val="24"/>
                <w:szCs w:val="24"/>
                <w:lang w:val="en-US" w:eastAsia="zh-CN"/>
              </w:rPr>
              <w:t>年城镇总人口为</w:t>
            </w:r>
            <w:r>
              <w:rPr>
                <w:rFonts w:hint="default" w:ascii="Times New Roman" w:hAnsi="Times New Roman" w:eastAsia="宋体" w:cs="Times New Roman"/>
                <w:color w:val="auto"/>
                <w:spacing w:val="6"/>
                <w:sz w:val="24"/>
                <w:szCs w:val="24"/>
                <w:lang w:val="en-US" w:eastAsia="zh-CN"/>
              </w:rPr>
              <w:t xml:space="preserve">15 </w:t>
            </w:r>
            <w:r>
              <w:rPr>
                <w:rFonts w:hint="eastAsia" w:ascii="Times New Roman" w:hAnsi="Times New Roman" w:eastAsia="宋体" w:cs="Times New Roman"/>
                <w:color w:val="auto"/>
                <w:spacing w:val="6"/>
                <w:sz w:val="24"/>
                <w:szCs w:val="24"/>
                <w:lang w:val="en-US" w:eastAsia="zh-CN"/>
              </w:rPr>
              <w:t>万人</w:t>
            </w:r>
            <w:r>
              <w:rPr>
                <w:rFonts w:ascii="Times New Roman" w:hAnsi="Times New Roman" w:eastAsia="宋体" w:cs="Times New Roman"/>
                <w:color w:val="auto"/>
                <w:spacing w:val="6"/>
                <w:sz w:val="24"/>
                <w:szCs w:val="24"/>
              </w:rPr>
              <w:t>。</w:t>
            </w:r>
          </w:p>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（4）综合生活污水量定额</w:t>
            </w:r>
          </w:p>
          <w:p>
            <w:pPr>
              <w:adjustRightInd w:val="0"/>
              <w:snapToGrid w:val="0"/>
              <w:spacing w:line="360" w:lineRule="auto"/>
              <w:ind w:firstLine="504" w:firstLineChars="200"/>
              <w:rPr>
                <w:rFonts w:hint="eastAsia" w:ascii="Times New Roman" w:hAnsi="Times New Roman" w:eastAsia="宋体" w:cs="Times New Roman"/>
                <w:color w:val="auto"/>
                <w:spacing w:val="6"/>
                <w:sz w:val="24"/>
                <w:szCs w:val="24"/>
                <w:lang w:val="en-US" w:eastAsia="zh-CN"/>
              </w:rPr>
            </w:pPr>
            <w:r>
              <w:rPr>
                <w:rFonts w:ascii="Times New Roman" w:hAnsi="Times New Roman" w:eastAsia="宋体" w:cs="Times New Roman"/>
                <w:color w:val="auto"/>
                <w:spacing w:val="6"/>
                <w:sz w:val="24"/>
                <w:szCs w:val="24"/>
              </w:rPr>
              <w:t>根据《</w:t>
            </w:r>
            <w:r>
              <w:rPr>
                <w:rFonts w:hint="eastAsia" w:ascii="Times New Roman" w:hAnsi="Times New Roman" w:eastAsia="宋体" w:cs="Times New Roman"/>
                <w:color w:val="auto"/>
                <w:spacing w:val="6"/>
                <w:sz w:val="24"/>
                <w:szCs w:val="24"/>
                <w:lang w:val="en-US" w:eastAsia="zh-CN"/>
              </w:rPr>
              <w:t>山西省用水定额  第4部分：居民生活用水定额</w:t>
            </w:r>
            <w:r>
              <w:rPr>
                <w:rFonts w:ascii="Times New Roman" w:hAnsi="Times New Roman" w:eastAsia="宋体" w:cs="Times New Roman"/>
                <w:color w:val="auto"/>
                <w:spacing w:val="6"/>
                <w:sz w:val="24"/>
                <w:szCs w:val="24"/>
              </w:rPr>
              <w:t>》（</w:t>
            </w:r>
            <w:r>
              <w:rPr>
                <w:rFonts w:hint="default" w:ascii="Times New Roman" w:hAnsi="Times New Roman" w:eastAsia="宋体" w:cs="Times New Roman"/>
                <w:color w:val="auto"/>
                <w:spacing w:val="6"/>
                <w:sz w:val="24"/>
                <w:szCs w:val="24"/>
                <w:lang w:val="en-US" w:eastAsia="zh-CN"/>
              </w:rPr>
              <w:t>DB 14/T 1049.4</w:t>
            </w:r>
            <w:r>
              <w:rPr>
                <w:rFonts w:ascii="Times New Roman" w:hAnsi="Times New Roman" w:eastAsia="宋体" w:cs="Times New Roman"/>
                <w:color w:val="auto"/>
                <w:spacing w:val="6"/>
                <w:sz w:val="24"/>
                <w:szCs w:val="24"/>
                <w:lang w:val="en-US" w:eastAsia="zh-CN"/>
              </w:rPr>
              <w:t>—</w:t>
            </w:r>
            <w:r>
              <w:rPr>
                <w:rFonts w:hint="default" w:ascii="Times New Roman" w:hAnsi="Times New Roman" w:eastAsia="宋体" w:cs="Times New Roman"/>
                <w:color w:val="auto"/>
                <w:spacing w:val="6"/>
                <w:sz w:val="24"/>
                <w:szCs w:val="24"/>
                <w:lang w:val="en-US" w:eastAsia="zh-CN"/>
              </w:rPr>
              <w:t>2021</w:t>
            </w:r>
            <w:r>
              <w:rPr>
                <w:rFonts w:ascii="Times New Roman" w:hAnsi="Times New Roman" w:eastAsia="宋体" w:cs="Times New Roman"/>
                <w:color w:val="auto"/>
                <w:spacing w:val="6"/>
                <w:sz w:val="24"/>
                <w:szCs w:val="24"/>
              </w:rPr>
              <w:t>）规定，</w:t>
            </w:r>
            <w:r>
              <w:rPr>
                <w:rFonts w:hint="eastAsia" w:ascii="Times New Roman" w:hAnsi="Times New Roman" w:eastAsia="宋体" w:cs="Times New Roman"/>
                <w:color w:val="auto"/>
                <w:spacing w:val="6"/>
                <w:sz w:val="24"/>
                <w:szCs w:val="24"/>
                <w:lang w:val="en-US" w:eastAsia="zh-CN"/>
              </w:rPr>
              <w:t>50万人口以下为小城市</w:t>
            </w:r>
            <w:r>
              <w:rPr>
                <w:rFonts w:ascii="Times New Roman" w:hAnsi="Times New Roman" w:eastAsia="宋体" w:cs="Times New Roman"/>
                <w:color w:val="auto"/>
                <w:spacing w:val="6"/>
                <w:sz w:val="24"/>
                <w:szCs w:val="24"/>
              </w:rPr>
              <w:t>，小城市平均日综合生活用水定额为</w:t>
            </w:r>
            <w:r>
              <w:rPr>
                <w:rFonts w:hint="eastAsia" w:ascii="Times New Roman" w:hAnsi="Times New Roman" w:eastAsia="宋体" w:cs="Times New Roman"/>
                <w:color w:val="auto"/>
                <w:spacing w:val="6"/>
                <w:sz w:val="24"/>
                <w:szCs w:val="24"/>
                <w:lang w:val="en-US" w:eastAsia="zh-CN"/>
              </w:rPr>
              <w:t>180</w:t>
            </w:r>
            <w:r>
              <w:rPr>
                <w:rFonts w:ascii="Times New Roman" w:hAnsi="Times New Roman" w:eastAsia="宋体" w:cs="Times New Roman"/>
                <w:color w:val="auto"/>
                <w:spacing w:val="6"/>
                <w:sz w:val="24"/>
                <w:szCs w:val="24"/>
              </w:rPr>
              <w:t>L/</w:t>
            </w:r>
            <w:r>
              <w:rPr>
                <w:rFonts w:hint="eastAsia" w:ascii="Times New Roman" w:hAnsi="Times New Roman" w:eastAsia="宋体" w:cs="Times New Roman"/>
                <w:color w:val="auto"/>
                <w:spacing w:val="6"/>
                <w:sz w:val="24"/>
                <w:szCs w:val="24"/>
                <w:lang w:eastAsia="zh-CN"/>
              </w:rPr>
              <w:t>（</w:t>
            </w:r>
            <w:r>
              <w:rPr>
                <w:rFonts w:ascii="Times New Roman" w:hAnsi="Times New Roman" w:eastAsia="宋体" w:cs="Times New Roman"/>
                <w:color w:val="auto"/>
                <w:spacing w:val="6"/>
                <w:sz w:val="24"/>
                <w:szCs w:val="24"/>
              </w:rPr>
              <w:t>p•d</w:t>
            </w:r>
            <w:r>
              <w:rPr>
                <w:rFonts w:hint="eastAsia" w:ascii="Times New Roman" w:hAnsi="Times New Roman" w:eastAsia="宋体" w:cs="Times New Roman"/>
                <w:color w:val="auto"/>
                <w:spacing w:val="6"/>
                <w:sz w:val="24"/>
                <w:szCs w:val="24"/>
                <w:lang w:eastAsia="zh-CN"/>
              </w:rPr>
              <w:t>）</w:t>
            </w:r>
            <w:r>
              <w:rPr>
                <w:rFonts w:ascii="Times New Roman" w:hAnsi="Times New Roman" w:eastAsia="宋体" w:cs="Times New Roman"/>
                <w:color w:val="auto"/>
                <w:spacing w:val="6"/>
                <w:sz w:val="24"/>
                <w:szCs w:val="24"/>
              </w:rPr>
              <w:t>。未预见用水量取8%。</w:t>
            </w:r>
            <w:r>
              <w:rPr>
                <w:rFonts w:hint="eastAsia" w:ascii="Times New Roman" w:hAnsi="Times New Roman" w:eastAsia="宋体" w:cs="Times New Roman"/>
                <w:color w:val="auto"/>
                <w:spacing w:val="6"/>
                <w:sz w:val="24"/>
                <w:szCs w:val="24"/>
                <w:lang w:val="en-US" w:eastAsia="zh-CN"/>
              </w:rPr>
              <w:t>根据《室外排水设计标准》（</w:t>
            </w:r>
            <w:r>
              <w:rPr>
                <w:rFonts w:hint="default" w:ascii="Times New Roman" w:hAnsi="Times New Roman" w:eastAsia="宋体" w:cs="Times New Roman"/>
                <w:color w:val="auto"/>
                <w:spacing w:val="6"/>
                <w:sz w:val="24"/>
                <w:szCs w:val="24"/>
                <w:lang w:val="en-US" w:eastAsia="zh-CN"/>
              </w:rPr>
              <w:t>GB50014-2006</w:t>
            </w:r>
            <w:r>
              <w:rPr>
                <w:rFonts w:hint="eastAsia" w:ascii="Times New Roman" w:hAnsi="Times New Roman" w:eastAsia="宋体" w:cs="Times New Roman"/>
                <w:color w:val="auto"/>
                <w:spacing w:val="6"/>
                <w:sz w:val="24"/>
                <w:szCs w:val="24"/>
                <w:lang w:val="en-US" w:eastAsia="zh-CN"/>
              </w:rPr>
              <w:t>）第</w:t>
            </w:r>
            <w:r>
              <w:rPr>
                <w:rFonts w:hint="default" w:ascii="Times New Roman" w:hAnsi="Times New Roman" w:eastAsia="宋体" w:cs="Times New Roman"/>
                <w:color w:val="auto"/>
                <w:spacing w:val="6"/>
                <w:sz w:val="24"/>
                <w:szCs w:val="24"/>
                <w:lang w:val="en-US" w:eastAsia="zh-CN"/>
              </w:rPr>
              <w:t>2.1.1</w:t>
            </w:r>
            <w:r>
              <w:rPr>
                <w:rFonts w:hint="eastAsia" w:ascii="Times New Roman" w:hAnsi="Times New Roman" w:eastAsia="宋体" w:cs="Times New Roman"/>
                <w:color w:val="auto"/>
                <w:spacing w:val="6"/>
                <w:sz w:val="24"/>
                <w:szCs w:val="24"/>
                <w:lang w:val="en-US" w:eastAsia="zh-CN"/>
              </w:rPr>
              <w:t>条规定，综生活污水量定额按用水量定额的</w:t>
            </w:r>
            <w:r>
              <w:rPr>
                <w:rFonts w:hint="default" w:ascii="Times New Roman" w:hAnsi="Times New Roman" w:eastAsia="宋体" w:cs="Times New Roman"/>
                <w:color w:val="auto"/>
                <w:spacing w:val="6"/>
                <w:sz w:val="24"/>
                <w:szCs w:val="24"/>
                <w:lang w:val="en-US" w:eastAsia="zh-CN"/>
              </w:rPr>
              <w:t>80%-90%</w:t>
            </w:r>
            <w:r>
              <w:rPr>
                <w:rFonts w:hint="eastAsia" w:ascii="Times New Roman" w:hAnsi="Times New Roman" w:eastAsia="宋体" w:cs="Times New Roman"/>
                <w:color w:val="auto"/>
                <w:spacing w:val="6"/>
                <w:sz w:val="24"/>
                <w:szCs w:val="24"/>
                <w:lang w:val="en-US" w:eastAsia="zh-CN"/>
              </w:rPr>
              <w:t>计算，本项目取</w:t>
            </w:r>
            <w:r>
              <w:rPr>
                <w:rFonts w:hint="default" w:ascii="Times New Roman" w:hAnsi="Times New Roman" w:eastAsia="宋体" w:cs="Times New Roman"/>
                <w:color w:val="auto"/>
                <w:spacing w:val="6"/>
                <w:sz w:val="24"/>
                <w:szCs w:val="24"/>
                <w:lang w:val="en-US" w:eastAsia="zh-CN"/>
              </w:rPr>
              <w:t>80%</w:t>
            </w:r>
            <w:r>
              <w:rPr>
                <w:rFonts w:hint="eastAsia" w:ascii="Times New Roman" w:hAnsi="Times New Roman" w:eastAsia="宋体" w:cs="Times New Roman"/>
                <w:color w:val="auto"/>
                <w:spacing w:val="6"/>
                <w:sz w:val="24"/>
                <w:szCs w:val="24"/>
                <w:lang w:val="en-US" w:eastAsia="zh-CN"/>
              </w:rPr>
              <w:t>。根据以上分析计算，至2030年，城区污水排放量为23328m</w:t>
            </w:r>
            <w:r>
              <w:rPr>
                <w:rFonts w:hint="eastAsia" w:ascii="Times New Roman" w:hAnsi="Times New Roman" w:eastAsia="宋体" w:cs="Times New Roman"/>
                <w:color w:val="auto"/>
                <w:spacing w:val="6"/>
                <w:sz w:val="24"/>
                <w:szCs w:val="24"/>
                <w:vertAlign w:val="superscript"/>
                <w:lang w:val="en-US" w:eastAsia="zh-CN"/>
              </w:rPr>
              <w:t>3</w:t>
            </w:r>
            <w:r>
              <w:rPr>
                <w:rFonts w:hint="eastAsia" w:ascii="Times New Roman" w:hAnsi="Times New Roman" w:eastAsia="宋体" w:cs="Times New Roman"/>
                <w:color w:val="auto"/>
                <w:spacing w:val="6"/>
                <w:sz w:val="24"/>
                <w:szCs w:val="24"/>
                <w:lang w:val="en-US" w:eastAsia="zh-CN"/>
              </w:rPr>
              <w:t>/d。</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 2-4 平均日用水量</w:t>
            </w:r>
          </w:p>
          <w:tbl>
            <w:tblPr>
              <w:tblStyle w:val="24"/>
              <w:tblW w:w="80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09"/>
              <w:gridCol w:w="1647"/>
              <w:gridCol w:w="1065"/>
              <w:gridCol w:w="1302"/>
              <w:gridCol w:w="2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9" w:type="dxa"/>
                  <w:tcBorders>
                    <w:top w:val="single" w:color="auto" w:sz="12" w:space="0"/>
                    <w:left w:val="nil"/>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用水项目</w:t>
                  </w:r>
                </w:p>
              </w:tc>
              <w:tc>
                <w:tcPr>
                  <w:tcW w:w="1647"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用水定额</w:t>
                  </w:r>
                </w:p>
              </w:tc>
              <w:tc>
                <w:tcPr>
                  <w:tcW w:w="1065"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302"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用水量</w:t>
                  </w:r>
                </w:p>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tc>
              <w:tc>
                <w:tcPr>
                  <w:tcW w:w="2764"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废水产生量（m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9" w:type="dxa"/>
                  <w:tcBorders>
                    <w:top w:val="single" w:color="auto" w:sz="4" w:space="0"/>
                    <w:left w:val="nil"/>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生活用水</w:t>
                  </w:r>
                </w:p>
              </w:tc>
              <w:tc>
                <w:tcPr>
                  <w:tcW w:w="1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180</w:t>
                  </w:r>
                  <w:r>
                    <w:rPr>
                      <w:rFonts w:hint="default" w:ascii="Times New Roman" w:hAnsi="Times New Roman" w:eastAsia="宋体" w:cs="Times New Roman"/>
                      <w:color w:val="auto"/>
                      <w:sz w:val="21"/>
                      <w:szCs w:val="21"/>
                    </w:rPr>
                    <w:t>L/</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p</w:t>
                  </w:r>
                  <w:r>
                    <w:rPr>
                      <w:rFonts w:hint="default" w:ascii="Times New Roman" w:hAnsi="Times New Roman" w:eastAsia="宋体" w:cs="Times New Roman"/>
                      <w:color w:val="auto"/>
                      <w:sz w:val="21"/>
                      <w:szCs w:val="21"/>
                    </w:rPr>
                    <w:t>·d</w:t>
                  </w:r>
                  <w:r>
                    <w:rPr>
                      <w:rFonts w:hint="eastAsia" w:ascii="Times New Roman" w:hAnsi="Times New Roman" w:eastAsia="宋体" w:cs="Times New Roman"/>
                      <w:color w:val="auto"/>
                      <w:sz w:val="21"/>
                      <w:szCs w:val="21"/>
                      <w:lang w:eastAsia="zh-CN"/>
                    </w:rPr>
                    <w:t>）</w:t>
                  </w: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15万</w:t>
                  </w:r>
                  <w:r>
                    <w:rPr>
                      <w:rFonts w:hint="default" w:ascii="Times New Roman" w:hAnsi="Times New Roman" w:eastAsia="宋体" w:cs="Times New Roman"/>
                      <w:color w:val="auto"/>
                      <w:sz w:val="21"/>
                      <w:szCs w:val="21"/>
                    </w:rPr>
                    <w:t>人</w:t>
                  </w:r>
                </w:p>
              </w:tc>
              <w:tc>
                <w:tcPr>
                  <w:tcW w:w="13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27000</w:t>
                  </w:r>
                </w:p>
              </w:tc>
              <w:tc>
                <w:tcPr>
                  <w:tcW w:w="27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9" w:type="dxa"/>
                  <w:tcBorders>
                    <w:top w:val="single" w:color="auto" w:sz="4" w:space="0"/>
                    <w:left w:val="nil"/>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未预见用水</w:t>
                  </w:r>
                </w:p>
              </w:tc>
              <w:tc>
                <w:tcPr>
                  <w:tcW w:w="1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27000</w:t>
                  </w:r>
                </w:p>
              </w:tc>
              <w:tc>
                <w:tcPr>
                  <w:tcW w:w="13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2160</w:t>
                  </w:r>
                </w:p>
              </w:tc>
              <w:tc>
                <w:tcPr>
                  <w:tcW w:w="27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9" w:type="dxa"/>
                  <w:tcBorders>
                    <w:top w:val="single" w:color="auto" w:sz="4" w:space="0"/>
                    <w:left w:val="nil"/>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647"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065"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302"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29160</w:t>
                  </w:r>
                </w:p>
              </w:tc>
              <w:tc>
                <w:tcPr>
                  <w:tcW w:w="2764"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23328</w:t>
                  </w:r>
                </w:p>
              </w:tc>
            </w:tr>
          </w:tbl>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根据省内相关政策，</w:t>
            </w:r>
            <w:r>
              <w:rPr>
                <w:rFonts w:hint="eastAsia" w:ascii="Times New Roman" w:hAnsi="Times New Roman" w:eastAsia="宋体" w:cs="Times New Roman"/>
                <w:color w:val="auto"/>
                <w:spacing w:val="6"/>
                <w:sz w:val="24"/>
                <w:szCs w:val="24"/>
                <w:lang w:eastAsia="zh-CN"/>
              </w:rPr>
              <w:t>污水处理厂</w:t>
            </w:r>
            <w:r>
              <w:rPr>
                <w:rFonts w:ascii="Times New Roman" w:hAnsi="Times New Roman" w:eastAsia="宋体" w:cs="Times New Roman"/>
                <w:color w:val="auto"/>
                <w:spacing w:val="6"/>
                <w:sz w:val="24"/>
                <w:szCs w:val="24"/>
              </w:rPr>
              <w:t>建设规模宜按照80%负荷率设计，</w:t>
            </w:r>
            <w:r>
              <w:rPr>
                <w:rFonts w:hint="eastAsia" w:ascii="Times New Roman" w:hAnsi="Times New Roman" w:eastAsia="宋体" w:cs="Times New Roman"/>
                <w:color w:val="auto"/>
                <w:spacing w:val="6"/>
                <w:sz w:val="24"/>
                <w:szCs w:val="24"/>
                <w:lang w:eastAsia="zh-CN"/>
              </w:rPr>
              <w:t>污水处理厂</w:t>
            </w:r>
            <w:r>
              <w:rPr>
                <w:rFonts w:ascii="Times New Roman" w:hAnsi="Times New Roman" w:eastAsia="宋体" w:cs="Times New Roman"/>
                <w:color w:val="auto"/>
                <w:spacing w:val="6"/>
                <w:sz w:val="24"/>
                <w:szCs w:val="24"/>
              </w:rPr>
              <w:t>的建设规模应为</w:t>
            </w:r>
            <w:r>
              <w:rPr>
                <w:rFonts w:hint="eastAsia" w:ascii="Times New Roman" w:hAnsi="Times New Roman" w:eastAsia="宋体" w:cs="Times New Roman"/>
                <w:color w:val="auto"/>
                <w:spacing w:val="6"/>
                <w:sz w:val="24"/>
                <w:szCs w:val="24"/>
                <w:lang w:val="en-US" w:eastAsia="zh-CN"/>
              </w:rPr>
              <w:t>29160</w:t>
            </w:r>
            <w:r>
              <w:rPr>
                <w:rFonts w:ascii="Times New Roman" w:hAnsi="Times New Roman" w:eastAsia="宋体" w:cs="Times New Roman"/>
                <w:color w:val="auto"/>
                <w:spacing w:val="6"/>
                <w:sz w:val="24"/>
                <w:szCs w:val="24"/>
              </w:rPr>
              <w:t>m</w:t>
            </w:r>
            <w:r>
              <w:rPr>
                <w:rFonts w:ascii="Times New Roman" w:hAnsi="Times New Roman" w:eastAsia="宋体" w:cs="Times New Roman"/>
                <w:color w:val="auto"/>
                <w:spacing w:val="6"/>
                <w:sz w:val="24"/>
                <w:szCs w:val="24"/>
                <w:vertAlign w:val="superscript"/>
              </w:rPr>
              <w:t>3</w:t>
            </w:r>
            <w:r>
              <w:rPr>
                <w:rFonts w:ascii="Times New Roman" w:hAnsi="Times New Roman" w:eastAsia="宋体" w:cs="Times New Roman"/>
                <w:color w:val="auto"/>
                <w:spacing w:val="6"/>
                <w:sz w:val="24"/>
                <w:szCs w:val="24"/>
              </w:rPr>
              <w:t>/d。</w:t>
            </w:r>
          </w:p>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3、进出水水质</w:t>
            </w:r>
          </w:p>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依据项目可研资料及参考周边已建成乡镇污水处理厂验收数据中进水水质，确定本项目进水水质。根据</w:t>
            </w:r>
            <w:r>
              <w:rPr>
                <w:rFonts w:hint="eastAsia" w:ascii="Times New Roman" w:hAnsi="Times New Roman" w:eastAsia="宋体" w:cs="Times New Roman"/>
                <w:color w:val="auto"/>
                <w:sz w:val="24"/>
                <w:szCs w:val="24"/>
              </w:rPr>
              <w:t>《山西省人民政府办公厅关于印发山西省城镇污水处理厂运行监督管理办法</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试行</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的通知</w:t>
            </w:r>
            <w:r>
              <w:rPr>
                <w:rFonts w:hint="eastAsia" w:ascii="Times New Roman" w:hAnsi="Times New Roman" w:eastAsia="宋体" w:cs="Times New Roman"/>
                <w:color w:val="auto"/>
                <w:sz w:val="24"/>
                <w:szCs w:val="24"/>
              </w:rPr>
              <w:t>》（晋政办发〔</w:t>
            </w:r>
            <w:r>
              <w:rPr>
                <w:rFonts w:ascii="Times New Roman" w:hAnsi="Times New Roman" w:eastAsia="宋体" w:cs="Times New Roman"/>
                <w:color w:val="auto"/>
                <w:sz w:val="24"/>
                <w:szCs w:val="24"/>
              </w:rPr>
              <w:t>2019〕77号</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pacing w:val="6"/>
                <w:sz w:val="24"/>
                <w:szCs w:val="24"/>
              </w:rPr>
              <w:t>、《山西省水污染防治工作方案实施情况考核规定》晋水防办发【2017】25 号文和《山西省水污染防治条例》，</w:t>
            </w:r>
            <w:r>
              <w:rPr>
                <w:rFonts w:hint="eastAsia" w:ascii="Times New Roman" w:hAnsi="Times New Roman" w:eastAsia="宋体" w:cs="Times New Roman"/>
                <w:color w:val="auto"/>
                <w:spacing w:val="6"/>
                <w:sz w:val="24"/>
                <w:szCs w:val="24"/>
                <w:lang w:eastAsia="zh-CN"/>
              </w:rPr>
              <w:t>污水处理厂</w:t>
            </w:r>
            <w:r>
              <w:rPr>
                <w:rFonts w:ascii="Times New Roman" w:hAnsi="Times New Roman" w:eastAsia="宋体" w:cs="Times New Roman"/>
                <w:color w:val="auto"/>
                <w:spacing w:val="6"/>
                <w:sz w:val="24"/>
                <w:szCs w:val="24"/>
              </w:rPr>
              <w:t>设计出水水质中COD</w:t>
            </w:r>
            <w:r>
              <w:rPr>
                <w:rFonts w:ascii="Times New Roman" w:hAnsi="Times New Roman" w:eastAsia="宋体" w:cs="Times New Roman"/>
                <w:color w:val="auto"/>
                <w:spacing w:val="6"/>
                <w:sz w:val="24"/>
                <w:szCs w:val="24"/>
                <w:vertAlign w:val="subscript"/>
              </w:rPr>
              <w:t>Cr</w:t>
            </w:r>
            <w:r>
              <w:rPr>
                <w:rFonts w:ascii="Times New Roman" w:hAnsi="Times New Roman" w:eastAsia="宋体" w:cs="Times New Roman"/>
                <w:color w:val="auto"/>
                <w:spacing w:val="6"/>
                <w:sz w:val="24"/>
                <w:szCs w:val="24"/>
              </w:rPr>
              <w:t>、NH</w:t>
            </w:r>
            <w:r>
              <w:rPr>
                <w:rFonts w:ascii="Times New Roman" w:hAnsi="Times New Roman" w:eastAsia="宋体" w:cs="Times New Roman"/>
                <w:color w:val="auto"/>
                <w:spacing w:val="6"/>
                <w:sz w:val="24"/>
                <w:szCs w:val="24"/>
                <w:vertAlign w:val="subscript"/>
              </w:rPr>
              <w:t>3</w:t>
            </w:r>
            <w:r>
              <w:rPr>
                <w:rFonts w:ascii="Times New Roman" w:hAnsi="Times New Roman" w:eastAsia="宋体" w:cs="Times New Roman"/>
                <w:color w:val="auto"/>
                <w:spacing w:val="6"/>
                <w:sz w:val="24"/>
                <w:szCs w:val="24"/>
              </w:rPr>
              <w:t>-N、TP三项指标，应达到《地表水环境质量标准》（GB3838-2002）Ⅴ类水质标准；其余指标执行《城镇污水处理厂污染物排放标准》（GB18918-2002）排放一级A标准。</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表2-5 污水处理厂设计进出水水质分析表</w:t>
            </w:r>
          </w:p>
          <w:tbl>
            <w:tblPr>
              <w:tblStyle w:val="25"/>
              <w:tblW w:w="80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2"/>
              <w:gridCol w:w="1219"/>
              <w:gridCol w:w="914"/>
              <w:gridCol w:w="761"/>
              <w:gridCol w:w="759"/>
              <w:gridCol w:w="914"/>
              <w:gridCol w:w="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832" w:type="dxa"/>
                  <w:tcBorders>
                    <w:tl2br w:val="single" w:color="auto" w:sz="2" w:space="0"/>
                  </w:tcBorders>
                  <w:vAlign w:val="center"/>
                </w:tcPr>
                <w:p>
                  <w:pPr>
                    <w:adjustRightInd w:val="0"/>
                    <w:snapToGrid w:val="0"/>
                    <w:spacing w:line="240" w:lineRule="auto"/>
                    <w:jc w:val="right"/>
                    <w:rPr>
                      <w:rFonts w:ascii="Times New Roman" w:hAnsi="Times New Roman" w:eastAsia="宋体" w:cs="Times New Roman"/>
                      <w:b/>
                      <w:bCs/>
                      <w:color w:val="auto"/>
                      <w:spacing w:val="6"/>
                      <w:szCs w:val="21"/>
                    </w:rPr>
                  </w:pPr>
                  <w:r>
                    <w:rPr>
                      <w:rFonts w:ascii="Times New Roman" w:hAnsi="Times New Roman" w:eastAsia="宋体" w:cs="Times New Roman"/>
                      <w:b/>
                      <w:bCs/>
                      <w:color w:val="auto"/>
                      <w:spacing w:val="6"/>
                      <w:szCs w:val="21"/>
                    </w:rPr>
                    <w:t>指标</w:t>
                  </w:r>
                </w:p>
                <w:p>
                  <w:pPr>
                    <w:adjustRightInd w:val="0"/>
                    <w:snapToGrid w:val="0"/>
                    <w:spacing w:line="240" w:lineRule="auto"/>
                    <w:jc w:val="left"/>
                    <w:rPr>
                      <w:rFonts w:ascii="Times New Roman" w:hAnsi="Times New Roman" w:eastAsia="宋体" w:cs="Times New Roman"/>
                      <w:b/>
                      <w:bCs/>
                      <w:color w:val="auto"/>
                      <w:spacing w:val="6"/>
                      <w:szCs w:val="21"/>
                    </w:rPr>
                  </w:pPr>
                  <w:r>
                    <w:rPr>
                      <w:rFonts w:ascii="Times New Roman" w:hAnsi="Times New Roman" w:eastAsia="宋体" w:cs="Times New Roman"/>
                      <w:b/>
                      <w:bCs/>
                      <w:color w:val="auto"/>
                      <w:spacing w:val="6"/>
                      <w:szCs w:val="21"/>
                    </w:rPr>
                    <w:t>项目</w:t>
                  </w:r>
                </w:p>
              </w:tc>
              <w:tc>
                <w:tcPr>
                  <w:tcW w:w="1219" w:type="dxa"/>
                  <w:tcBorders>
                    <w:tl2br w:val="nil"/>
                    <w:tr2bl w:val="nil"/>
                  </w:tcBorders>
                  <w:vAlign w:val="center"/>
                </w:tcPr>
                <w:p>
                  <w:pPr>
                    <w:adjustRightInd w:val="0"/>
                    <w:snapToGrid w:val="0"/>
                    <w:spacing w:line="240" w:lineRule="auto"/>
                    <w:jc w:val="center"/>
                    <w:rPr>
                      <w:rFonts w:ascii="Times New Roman" w:hAnsi="Times New Roman" w:eastAsia="宋体" w:cs="Times New Roman"/>
                      <w:b/>
                      <w:bCs/>
                      <w:color w:val="auto"/>
                      <w:spacing w:val="6"/>
                      <w:szCs w:val="21"/>
                    </w:rPr>
                  </w:pPr>
                  <w:r>
                    <w:rPr>
                      <w:rFonts w:ascii="Times New Roman" w:hAnsi="Times New Roman" w:eastAsia="宋体" w:cs="Times New Roman"/>
                      <w:b/>
                      <w:bCs/>
                      <w:color w:val="auto"/>
                      <w:szCs w:val="21"/>
                    </w:rPr>
                    <w:t>COD</w:t>
                  </w:r>
                  <w:r>
                    <w:rPr>
                      <w:rFonts w:hint="eastAsia" w:ascii="Times New Roman" w:hAnsi="Times New Roman" w:eastAsia="宋体" w:cs="Times New Roman"/>
                      <w:b/>
                      <w:bCs/>
                      <w:color w:val="auto"/>
                      <w:szCs w:val="21"/>
                      <w:vertAlign w:val="subscript"/>
                      <w:lang w:val="en-US" w:eastAsia="zh-CN"/>
                    </w:rPr>
                    <w:t>C</w:t>
                  </w:r>
                  <w:r>
                    <w:rPr>
                      <w:rFonts w:ascii="Times New Roman" w:hAnsi="Times New Roman" w:eastAsia="宋体" w:cs="Times New Roman"/>
                      <w:b/>
                      <w:bCs/>
                      <w:color w:val="auto"/>
                      <w:szCs w:val="21"/>
                      <w:vertAlign w:val="subscript"/>
                    </w:rPr>
                    <w:t>r</w:t>
                  </w:r>
                </w:p>
              </w:tc>
              <w:tc>
                <w:tcPr>
                  <w:tcW w:w="914" w:type="dxa"/>
                  <w:tcBorders>
                    <w:tl2br w:val="nil"/>
                    <w:tr2bl w:val="nil"/>
                  </w:tcBorders>
                  <w:vAlign w:val="center"/>
                </w:tcPr>
                <w:p>
                  <w:pPr>
                    <w:adjustRightInd w:val="0"/>
                    <w:snapToGrid w:val="0"/>
                    <w:spacing w:line="240" w:lineRule="auto"/>
                    <w:jc w:val="center"/>
                    <w:rPr>
                      <w:rFonts w:ascii="Times New Roman" w:hAnsi="Times New Roman" w:eastAsia="宋体" w:cs="Times New Roman"/>
                      <w:b/>
                      <w:bCs/>
                      <w:color w:val="auto"/>
                      <w:spacing w:val="6"/>
                      <w:szCs w:val="21"/>
                    </w:rPr>
                  </w:pPr>
                  <w:r>
                    <w:rPr>
                      <w:rFonts w:ascii="Times New Roman" w:hAnsi="Times New Roman" w:eastAsia="宋体" w:cs="Times New Roman"/>
                      <w:b/>
                      <w:bCs/>
                      <w:color w:val="auto"/>
                      <w:position w:val="1"/>
                      <w:szCs w:val="21"/>
                    </w:rPr>
                    <w:t>BOD</w:t>
                  </w:r>
                  <w:r>
                    <w:rPr>
                      <w:rFonts w:ascii="Times New Roman" w:hAnsi="Times New Roman" w:eastAsia="宋体" w:cs="Times New Roman"/>
                      <w:b/>
                      <w:bCs/>
                      <w:color w:val="auto"/>
                      <w:position w:val="1"/>
                      <w:szCs w:val="21"/>
                      <w:vertAlign w:val="subscript"/>
                    </w:rPr>
                    <w:t>5</w:t>
                  </w:r>
                </w:p>
              </w:tc>
              <w:tc>
                <w:tcPr>
                  <w:tcW w:w="761" w:type="dxa"/>
                  <w:tcBorders>
                    <w:tl2br w:val="nil"/>
                    <w:tr2bl w:val="nil"/>
                  </w:tcBorders>
                  <w:vAlign w:val="center"/>
                </w:tcPr>
                <w:p>
                  <w:pPr>
                    <w:adjustRightInd w:val="0"/>
                    <w:snapToGrid w:val="0"/>
                    <w:spacing w:line="240" w:lineRule="auto"/>
                    <w:jc w:val="center"/>
                    <w:rPr>
                      <w:rFonts w:ascii="Times New Roman" w:hAnsi="Times New Roman" w:eastAsia="宋体" w:cs="Times New Roman"/>
                      <w:b/>
                      <w:bCs/>
                      <w:color w:val="auto"/>
                      <w:spacing w:val="6"/>
                      <w:szCs w:val="21"/>
                    </w:rPr>
                  </w:pPr>
                  <w:r>
                    <w:rPr>
                      <w:rFonts w:ascii="Times New Roman" w:hAnsi="Times New Roman" w:eastAsia="宋体" w:cs="Times New Roman"/>
                      <w:b/>
                      <w:bCs/>
                      <w:color w:val="auto"/>
                      <w:szCs w:val="21"/>
                    </w:rPr>
                    <w:t>SS</w:t>
                  </w:r>
                </w:p>
              </w:tc>
              <w:tc>
                <w:tcPr>
                  <w:tcW w:w="759" w:type="dxa"/>
                  <w:tcBorders>
                    <w:tl2br w:val="nil"/>
                    <w:tr2bl w:val="nil"/>
                  </w:tcBorders>
                  <w:vAlign w:val="center"/>
                </w:tcPr>
                <w:p>
                  <w:pPr>
                    <w:adjustRightInd w:val="0"/>
                    <w:snapToGrid w:val="0"/>
                    <w:spacing w:line="240" w:lineRule="auto"/>
                    <w:jc w:val="center"/>
                    <w:rPr>
                      <w:rFonts w:ascii="Times New Roman" w:hAnsi="Times New Roman" w:eastAsia="宋体" w:cs="Times New Roman"/>
                      <w:b/>
                      <w:bCs/>
                      <w:color w:val="auto"/>
                      <w:spacing w:val="6"/>
                      <w:szCs w:val="21"/>
                    </w:rPr>
                  </w:pPr>
                  <w:r>
                    <w:rPr>
                      <w:rFonts w:ascii="Times New Roman" w:hAnsi="Times New Roman" w:eastAsia="宋体" w:cs="Times New Roman"/>
                      <w:b/>
                      <w:bCs/>
                      <w:color w:val="auto"/>
                      <w:szCs w:val="21"/>
                    </w:rPr>
                    <w:t>TN</w:t>
                  </w:r>
                </w:p>
              </w:tc>
              <w:tc>
                <w:tcPr>
                  <w:tcW w:w="914" w:type="dxa"/>
                  <w:tcBorders>
                    <w:tl2br w:val="nil"/>
                    <w:tr2bl w:val="nil"/>
                  </w:tcBorders>
                  <w:vAlign w:val="center"/>
                </w:tcPr>
                <w:p>
                  <w:pPr>
                    <w:adjustRightInd w:val="0"/>
                    <w:snapToGrid w:val="0"/>
                    <w:spacing w:line="240" w:lineRule="auto"/>
                    <w:jc w:val="center"/>
                    <w:rPr>
                      <w:rFonts w:ascii="Times New Roman" w:hAnsi="Times New Roman" w:eastAsia="宋体" w:cs="Times New Roman"/>
                      <w:b/>
                      <w:bCs/>
                      <w:color w:val="auto"/>
                      <w:spacing w:val="6"/>
                      <w:szCs w:val="21"/>
                    </w:rPr>
                  </w:pPr>
                  <w:r>
                    <w:rPr>
                      <w:rFonts w:ascii="Times New Roman" w:hAnsi="Times New Roman" w:eastAsia="宋体" w:cs="Times New Roman"/>
                      <w:b/>
                      <w:bCs/>
                      <w:color w:val="auto"/>
                      <w:position w:val="1"/>
                      <w:szCs w:val="21"/>
                    </w:rPr>
                    <w:t>NH</w:t>
                  </w:r>
                  <w:r>
                    <w:rPr>
                      <w:rFonts w:ascii="Times New Roman" w:hAnsi="Times New Roman" w:eastAsia="宋体" w:cs="Times New Roman"/>
                      <w:b/>
                      <w:bCs/>
                      <w:color w:val="auto"/>
                      <w:position w:val="1"/>
                      <w:szCs w:val="21"/>
                      <w:vertAlign w:val="subscript"/>
                    </w:rPr>
                    <w:t>3</w:t>
                  </w:r>
                  <w:r>
                    <w:rPr>
                      <w:rFonts w:ascii="Times New Roman" w:hAnsi="Times New Roman" w:eastAsia="宋体" w:cs="Times New Roman"/>
                      <w:b/>
                      <w:bCs/>
                      <w:color w:val="auto"/>
                      <w:position w:val="1"/>
                      <w:szCs w:val="21"/>
                    </w:rPr>
                    <w:t>-N</w:t>
                  </w:r>
                </w:p>
              </w:tc>
              <w:tc>
                <w:tcPr>
                  <w:tcW w:w="688" w:type="dxa"/>
                  <w:tcBorders>
                    <w:tl2br w:val="nil"/>
                    <w:tr2bl w:val="nil"/>
                  </w:tcBorders>
                  <w:vAlign w:val="center"/>
                </w:tcPr>
                <w:p>
                  <w:pPr>
                    <w:adjustRightInd w:val="0"/>
                    <w:snapToGrid w:val="0"/>
                    <w:spacing w:line="240" w:lineRule="auto"/>
                    <w:jc w:val="center"/>
                    <w:rPr>
                      <w:rFonts w:ascii="Times New Roman" w:hAnsi="Times New Roman" w:eastAsia="宋体" w:cs="Times New Roman"/>
                      <w:b/>
                      <w:bCs/>
                      <w:color w:val="auto"/>
                      <w:spacing w:val="6"/>
                      <w:szCs w:val="21"/>
                    </w:rPr>
                  </w:pPr>
                  <w:r>
                    <w:rPr>
                      <w:rFonts w:ascii="Times New Roman" w:hAnsi="Times New Roman" w:eastAsia="宋体" w:cs="Times New Roman"/>
                      <w:b/>
                      <w:bCs/>
                      <w:color w:val="auto"/>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2" w:type="dxa"/>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Cs w:val="21"/>
                    </w:rPr>
                  </w:pPr>
                  <w:r>
                    <w:rPr>
                      <w:rFonts w:ascii="Times New Roman" w:hAnsi="Times New Roman" w:eastAsia="宋体" w:cs="Times New Roman"/>
                      <w:color w:val="auto"/>
                      <w:szCs w:val="21"/>
                    </w:rPr>
                    <w:t>设计进水水质（mg/L）</w:t>
                  </w:r>
                </w:p>
              </w:tc>
              <w:tc>
                <w:tcPr>
                  <w:tcW w:w="121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zCs w:val="21"/>
                      <w:lang w:val="en-US" w:eastAsia="zh-CN"/>
                    </w:rPr>
                    <w:t>300</w:t>
                  </w:r>
                </w:p>
              </w:tc>
              <w:tc>
                <w:tcPr>
                  <w:tcW w:w="91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zCs w:val="21"/>
                      <w:lang w:val="en-US" w:eastAsia="zh-CN"/>
                    </w:rPr>
                    <w:t>160</w:t>
                  </w:r>
                </w:p>
              </w:tc>
              <w:tc>
                <w:tcPr>
                  <w:tcW w:w="76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pacing w:val="6"/>
                      <w:szCs w:val="21"/>
                      <w:lang w:val="en-US" w:eastAsia="zh-CN"/>
                    </w:rPr>
                  </w:pPr>
                  <w:r>
                    <w:rPr>
                      <w:rFonts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00</w:t>
                  </w:r>
                </w:p>
              </w:tc>
              <w:tc>
                <w:tcPr>
                  <w:tcW w:w="75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zCs w:val="21"/>
                      <w:lang w:val="en-US" w:eastAsia="zh-CN"/>
                    </w:rPr>
                    <w:t>40</w:t>
                  </w:r>
                </w:p>
              </w:tc>
              <w:tc>
                <w:tcPr>
                  <w:tcW w:w="91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zCs w:val="21"/>
                      <w:lang w:val="en-US" w:eastAsia="zh-CN"/>
                    </w:rPr>
                    <w:t>30</w:t>
                  </w:r>
                </w:p>
              </w:tc>
              <w:tc>
                <w:tcPr>
                  <w:tcW w:w="68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pacing w:val="6"/>
                      <w:szCs w:val="21"/>
                      <w:lang w:val="en-US" w:eastAsia="zh-CN"/>
                    </w:rPr>
                  </w:pPr>
                  <w:r>
                    <w:rPr>
                      <w:rFonts w:hint="eastAsia" w:ascii="Times New Roman" w:hAnsi="Times New Roman" w:eastAsia="宋体" w:cs="Times New Roman"/>
                      <w:color w:val="auto"/>
                      <w:spacing w:val="6"/>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32" w:type="dxa"/>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Cs w:val="21"/>
                    </w:rPr>
                  </w:pPr>
                  <w:r>
                    <w:rPr>
                      <w:rFonts w:ascii="Times New Roman" w:hAnsi="Times New Roman" w:eastAsia="宋体" w:cs="Times New Roman"/>
                      <w:color w:val="auto"/>
                      <w:szCs w:val="21"/>
                    </w:rPr>
                    <w:t>设计出水水质（mg/L）</w:t>
                  </w:r>
                </w:p>
              </w:tc>
              <w:tc>
                <w:tcPr>
                  <w:tcW w:w="1219" w:type="dxa"/>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Cs w:val="21"/>
                    </w:rPr>
                  </w:pPr>
                  <w:r>
                    <w:rPr>
                      <w:rFonts w:ascii="Times New Roman" w:hAnsi="Times New Roman" w:eastAsia="宋体" w:cs="Times New Roman"/>
                      <w:color w:val="auto"/>
                      <w:szCs w:val="21"/>
                    </w:rPr>
                    <w:t>40</w:t>
                  </w:r>
                </w:p>
              </w:tc>
              <w:tc>
                <w:tcPr>
                  <w:tcW w:w="914" w:type="dxa"/>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Cs w:val="21"/>
                    </w:rPr>
                  </w:pPr>
                  <w:r>
                    <w:rPr>
                      <w:rFonts w:ascii="Times New Roman" w:hAnsi="Times New Roman" w:eastAsia="宋体" w:cs="Times New Roman"/>
                      <w:color w:val="auto"/>
                      <w:szCs w:val="21"/>
                    </w:rPr>
                    <w:t>10</w:t>
                  </w:r>
                </w:p>
              </w:tc>
              <w:tc>
                <w:tcPr>
                  <w:tcW w:w="761" w:type="dxa"/>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Cs w:val="21"/>
                    </w:rPr>
                  </w:pPr>
                  <w:r>
                    <w:rPr>
                      <w:rFonts w:ascii="Times New Roman" w:hAnsi="Times New Roman" w:eastAsia="宋体" w:cs="Times New Roman"/>
                      <w:color w:val="auto"/>
                      <w:szCs w:val="21"/>
                    </w:rPr>
                    <w:t>10</w:t>
                  </w:r>
                </w:p>
              </w:tc>
              <w:tc>
                <w:tcPr>
                  <w:tcW w:w="759" w:type="dxa"/>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Cs w:val="21"/>
                    </w:rPr>
                  </w:pPr>
                  <w:r>
                    <w:rPr>
                      <w:rFonts w:ascii="Times New Roman" w:hAnsi="Times New Roman" w:eastAsia="宋体" w:cs="Times New Roman"/>
                      <w:color w:val="auto"/>
                      <w:szCs w:val="21"/>
                    </w:rPr>
                    <w:t>15</w:t>
                  </w:r>
                </w:p>
              </w:tc>
              <w:tc>
                <w:tcPr>
                  <w:tcW w:w="914" w:type="dxa"/>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Cs w:val="21"/>
                    </w:rPr>
                  </w:pPr>
                  <w:r>
                    <w:rPr>
                      <w:rFonts w:ascii="Times New Roman" w:hAnsi="Times New Roman" w:eastAsia="宋体" w:cs="Times New Roman"/>
                      <w:color w:val="auto"/>
                      <w:szCs w:val="21"/>
                    </w:rPr>
                    <w:t>2</w:t>
                  </w:r>
                </w:p>
              </w:tc>
              <w:tc>
                <w:tcPr>
                  <w:tcW w:w="688" w:type="dxa"/>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Cs w:val="21"/>
                    </w:rPr>
                  </w:pPr>
                  <w:r>
                    <w:rPr>
                      <w:rFonts w:ascii="Times New Roman" w:hAnsi="Times New Roman" w:eastAsia="宋体" w:cs="Times New Roman"/>
                      <w:color w:val="auto"/>
                      <w:szCs w:val="21"/>
                    </w:rPr>
                    <w:t>0.4</w:t>
                  </w:r>
                </w:p>
              </w:tc>
            </w:tr>
          </w:tbl>
          <w:p>
            <w:pPr>
              <w:adjustRightInd w:val="0"/>
              <w:snapToGrid w:val="0"/>
              <w:spacing w:line="360" w:lineRule="auto"/>
              <w:rPr>
                <w:rFonts w:ascii="Times New Roman" w:hAnsi="Times New Roman" w:eastAsia="宋体" w:cs="Times New Roman"/>
                <w:color w:val="auto"/>
                <w:sz w:val="24"/>
              </w:rPr>
            </w:pPr>
            <w:r>
              <w:rPr>
                <w:rFonts w:ascii="Times New Roman" w:hAnsi="Times New Roman" w:eastAsia="宋体" w:cs="Times New Roman"/>
                <w:color w:val="auto"/>
                <w:sz w:val="24"/>
              </w:rPr>
              <w:t>注：设计水温≥12℃</w:t>
            </w:r>
          </w:p>
          <w:p>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4、废水去向</w:t>
            </w:r>
          </w:p>
          <w:p>
            <w:pPr>
              <w:adjustRightInd w:val="0"/>
              <w:snapToGrid w:val="0"/>
              <w:spacing w:line="360" w:lineRule="auto"/>
              <w:ind w:firstLine="504" w:firstLineChars="200"/>
              <w:rPr>
                <w:rFonts w:ascii="Times New Roman" w:hAnsi="Times New Roman" w:eastAsia="宋体" w:cs="Times New Roman"/>
                <w:color w:val="auto"/>
                <w:spacing w:val="6"/>
                <w:sz w:val="24"/>
                <w:szCs w:val="24"/>
              </w:rPr>
            </w:pPr>
            <w:r>
              <w:rPr>
                <w:rFonts w:ascii="Times New Roman" w:hAnsi="Times New Roman" w:eastAsia="宋体" w:cs="Times New Roman"/>
                <w:color w:val="auto"/>
                <w:spacing w:val="6"/>
                <w:sz w:val="24"/>
                <w:szCs w:val="24"/>
              </w:rPr>
              <w:t>污水经</w:t>
            </w:r>
            <w:r>
              <w:rPr>
                <w:rFonts w:hint="eastAsia" w:ascii="Times New Roman" w:hAnsi="Times New Roman" w:eastAsia="宋体" w:cs="Times New Roman"/>
                <w:color w:val="auto"/>
                <w:spacing w:val="6"/>
                <w:sz w:val="24"/>
                <w:szCs w:val="24"/>
                <w:lang w:eastAsia="zh-CN"/>
              </w:rPr>
              <w:t>污水处理厂</w:t>
            </w:r>
            <w:r>
              <w:rPr>
                <w:rFonts w:ascii="Times New Roman" w:hAnsi="Times New Roman" w:eastAsia="宋体" w:cs="Times New Roman"/>
                <w:color w:val="auto"/>
                <w:spacing w:val="6"/>
                <w:sz w:val="24"/>
                <w:szCs w:val="24"/>
              </w:rPr>
              <w:t>处理后全部排入滹沱河。</w:t>
            </w:r>
          </w:p>
          <w:p>
            <w:pPr>
              <w:adjustRightInd w:val="0"/>
              <w:snapToGrid w:val="0"/>
              <w:spacing w:line="360" w:lineRule="auto"/>
              <w:rPr>
                <w:rFonts w:ascii="Times New Roman" w:hAnsi="Times New Roman" w:eastAsia="宋体" w:cs="Times New Roman"/>
                <w:b/>
                <w:bCs/>
                <w:color w:val="auto"/>
                <w:spacing w:val="6"/>
                <w:sz w:val="24"/>
                <w:szCs w:val="24"/>
              </w:rPr>
            </w:pPr>
            <w:r>
              <w:rPr>
                <w:rFonts w:ascii="Times New Roman" w:hAnsi="Times New Roman" w:eastAsia="宋体" w:cs="Times New Roman"/>
                <w:b/>
                <w:bCs/>
                <w:color w:val="auto"/>
                <w:spacing w:val="6"/>
                <w:sz w:val="24"/>
                <w:szCs w:val="24"/>
              </w:rPr>
              <w:t>2.5主要原料及能源消耗</w:t>
            </w:r>
          </w:p>
          <w:p>
            <w:pPr>
              <w:tabs>
                <w:tab w:val="left" w:pos="4680"/>
              </w:tabs>
              <w:adjustRightIn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项目主要原辅材料消耗及来源见表2-6。</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表2-6 主要原辅材料消耗表</w:t>
            </w:r>
          </w:p>
          <w:tbl>
            <w:tblPr>
              <w:tblStyle w:val="24"/>
              <w:tblW w:w="80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36"/>
              <w:gridCol w:w="1072"/>
              <w:gridCol w:w="779"/>
              <w:gridCol w:w="787"/>
              <w:gridCol w:w="1245"/>
              <w:gridCol w:w="1214"/>
              <w:gridCol w:w="10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pPr>
                    <w:spacing w:line="240"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类别</w:t>
                  </w:r>
                </w:p>
              </w:tc>
              <w:tc>
                <w:tcPr>
                  <w:tcW w:w="1436" w:type="dxa"/>
                  <w:tcBorders>
                    <w:tl2br w:val="nil"/>
                    <w:tr2bl w:val="nil"/>
                  </w:tcBorders>
                  <w:vAlign w:val="center"/>
                </w:tcPr>
                <w:p>
                  <w:pPr>
                    <w:spacing w:line="240"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名称</w:t>
                  </w:r>
                </w:p>
              </w:tc>
              <w:tc>
                <w:tcPr>
                  <w:tcW w:w="1072" w:type="dxa"/>
                  <w:tcBorders>
                    <w:tl2br w:val="nil"/>
                    <w:tr2bl w:val="nil"/>
                  </w:tcBorders>
                  <w:vAlign w:val="center"/>
                </w:tcPr>
                <w:p>
                  <w:pPr>
                    <w:spacing w:line="240"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消耗量</w:t>
                  </w:r>
                </w:p>
              </w:tc>
              <w:tc>
                <w:tcPr>
                  <w:tcW w:w="779" w:type="dxa"/>
                  <w:tcBorders>
                    <w:tl2br w:val="nil"/>
                    <w:tr2bl w:val="nil"/>
                  </w:tcBorders>
                  <w:vAlign w:val="center"/>
                </w:tcPr>
                <w:p>
                  <w:pPr>
                    <w:spacing w:line="240"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单位</w:t>
                  </w:r>
                </w:p>
              </w:tc>
              <w:tc>
                <w:tcPr>
                  <w:tcW w:w="787" w:type="dxa"/>
                  <w:tcBorders>
                    <w:tl2br w:val="nil"/>
                    <w:tr2bl w:val="nil"/>
                  </w:tcBorders>
                  <w:vAlign w:val="center"/>
                </w:tcPr>
                <w:p>
                  <w:pPr>
                    <w:spacing w:line="240"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来源</w:t>
                  </w:r>
                </w:p>
              </w:tc>
              <w:tc>
                <w:tcPr>
                  <w:tcW w:w="1245" w:type="dxa"/>
                  <w:tcBorders>
                    <w:tl2br w:val="nil"/>
                    <w:tr2bl w:val="nil"/>
                  </w:tcBorders>
                  <w:vAlign w:val="center"/>
                </w:tcPr>
                <w:p>
                  <w:pPr>
                    <w:spacing w:line="240"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化学成分</w:t>
                  </w:r>
                </w:p>
              </w:tc>
              <w:tc>
                <w:tcPr>
                  <w:tcW w:w="1214" w:type="dxa"/>
                  <w:tcBorders>
                    <w:tl2br w:val="nil"/>
                    <w:tr2bl w:val="nil"/>
                  </w:tcBorders>
                  <w:vAlign w:val="center"/>
                </w:tcPr>
                <w:p>
                  <w:pPr>
                    <w:spacing w:line="240" w:lineRule="auto"/>
                    <w:jc w:val="center"/>
                    <w:rPr>
                      <w:rFonts w:ascii="Times New Roman" w:hAnsi="Times New Roman" w:eastAsia="宋体" w:cs="Times New Roman"/>
                      <w:b/>
                      <w:bCs/>
                      <w:color w:val="auto"/>
                      <w:spacing w:val="-20"/>
                    </w:rPr>
                  </w:pPr>
                  <w:r>
                    <w:rPr>
                      <w:rFonts w:ascii="Times New Roman" w:hAnsi="Times New Roman" w:eastAsia="宋体" w:cs="Times New Roman"/>
                      <w:b/>
                      <w:bCs/>
                      <w:color w:val="auto"/>
                      <w:spacing w:val="-20"/>
                    </w:rPr>
                    <w:t>运输方式</w:t>
                  </w:r>
                </w:p>
              </w:tc>
              <w:tc>
                <w:tcPr>
                  <w:tcW w:w="1016" w:type="dxa"/>
                  <w:tcBorders>
                    <w:tl2br w:val="nil"/>
                    <w:tr2bl w:val="nil"/>
                  </w:tcBorders>
                  <w:vAlign w:val="center"/>
                </w:tcPr>
                <w:p>
                  <w:pPr>
                    <w:spacing w:line="240" w:lineRule="auto"/>
                    <w:jc w:val="center"/>
                    <w:rPr>
                      <w:rFonts w:ascii="Times New Roman" w:hAnsi="Times New Roman" w:eastAsia="宋体" w:cs="Times New Roman"/>
                      <w:b/>
                      <w:bCs/>
                      <w:color w:val="auto"/>
                      <w:spacing w:val="-20"/>
                    </w:rPr>
                  </w:pPr>
                  <w:r>
                    <w:rPr>
                      <w:rFonts w:hint="eastAsia" w:ascii="Times New Roman" w:hAnsi="Times New Roman" w:eastAsia="宋体" w:cs="Times New Roman"/>
                      <w:b/>
                      <w:bCs/>
                      <w:color w:val="auto"/>
                      <w:spacing w:val="-2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dxa"/>
                  <w:vMerge w:val="restart"/>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原辅料</w:t>
                  </w:r>
                </w:p>
              </w:tc>
              <w:tc>
                <w:tcPr>
                  <w:tcW w:w="1436"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乙酸钠</w:t>
                  </w:r>
                </w:p>
              </w:tc>
              <w:tc>
                <w:tcPr>
                  <w:tcW w:w="1072"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273.75</w:t>
                  </w:r>
                </w:p>
              </w:tc>
              <w:tc>
                <w:tcPr>
                  <w:tcW w:w="779"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t/a</w:t>
                  </w:r>
                </w:p>
              </w:tc>
              <w:tc>
                <w:tcPr>
                  <w:tcW w:w="787"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外购</w:t>
                  </w:r>
                </w:p>
              </w:tc>
              <w:tc>
                <w:tcPr>
                  <w:tcW w:w="1245"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工业结晶乙酸钠</w:t>
                  </w:r>
                </w:p>
              </w:tc>
              <w:tc>
                <w:tcPr>
                  <w:tcW w:w="1214"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汽车</w:t>
                  </w:r>
                </w:p>
              </w:tc>
              <w:tc>
                <w:tcPr>
                  <w:tcW w:w="1016" w:type="dxa"/>
                  <w:tcBorders>
                    <w:tl2br w:val="nil"/>
                    <w:tr2bl w:val="nil"/>
                  </w:tcBorders>
                  <w:vAlign w:val="center"/>
                </w:tcPr>
                <w:p>
                  <w:pPr>
                    <w:spacing w:line="240" w:lineRule="auto"/>
                    <w:jc w:val="center"/>
                    <w:rPr>
                      <w:rFonts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dxa"/>
                  <w:vMerge w:val="continue"/>
                  <w:tcBorders>
                    <w:tl2br w:val="nil"/>
                    <w:tr2bl w:val="nil"/>
                  </w:tcBorders>
                  <w:vAlign w:val="center"/>
                </w:tcPr>
                <w:p>
                  <w:pPr>
                    <w:spacing w:line="240" w:lineRule="auto"/>
                    <w:jc w:val="center"/>
                    <w:rPr>
                      <w:rFonts w:ascii="Times New Roman" w:hAnsi="Times New Roman" w:eastAsia="宋体" w:cs="Times New Roman"/>
                      <w:color w:val="auto"/>
                    </w:rPr>
                  </w:pPr>
                </w:p>
              </w:tc>
              <w:tc>
                <w:tcPr>
                  <w:tcW w:w="1436" w:type="dxa"/>
                  <w:tcBorders>
                    <w:tl2br w:val="nil"/>
                    <w:tr2bl w:val="nil"/>
                  </w:tcBorders>
                  <w:vAlign w:val="center"/>
                </w:tcPr>
                <w:p>
                  <w:pPr>
                    <w:spacing w:line="240"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聚丙烯酰胺（P</w:t>
                  </w:r>
                  <w:r>
                    <w:rPr>
                      <w:rFonts w:ascii="Times New Roman" w:hAnsi="Times New Roman" w:eastAsia="宋体" w:cs="Times New Roman"/>
                      <w:color w:val="auto"/>
                    </w:rPr>
                    <w:t>AM</w:t>
                  </w:r>
                  <w:r>
                    <w:rPr>
                      <w:rFonts w:hint="eastAsia" w:ascii="Times New Roman" w:hAnsi="Times New Roman" w:eastAsia="宋体" w:cs="Times New Roman"/>
                      <w:color w:val="auto"/>
                    </w:rPr>
                    <w:t>）</w:t>
                  </w:r>
                </w:p>
              </w:tc>
              <w:tc>
                <w:tcPr>
                  <w:tcW w:w="1072"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w:t>
                  </w:r>
                </w:p>
              </w:tc>
              <w:tc>
                <w:tcPr>
                  <w:tcW w:w="779" w:type="dxa"/>
                  <w:tcBorders>
                    <w:tl2br w:val="nil"/>
                    <w:tr2bl w:val="nil"/>
                  </w:tcBorders>
                  <w:vAlign w:val="center"/>
                </w:tcPr>
                <w:p>
                  <w:pPr>
                    <w:spacing w:line="24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rPr>
                    <w:t>t/a</w:t>
                  </w:r>
                </w:p>
              </w:tc>
              <w:tc>
                <w:tcPr>
                  <w:tcW w:w="787"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外购</w:t>
                  </w:r>
                </w:p>
              </w:tc>
              <w:tc>
                <w:tcPr>
                  <w:tcW w:w="1245" w:type="dxa"/>
                  <w:tcBorders>
                    <w:tl2br w:val="nil"/>
                    <w:tr2bl w:val="nil"/>
                  </w:tcBorders>
                  <w:vAlign w:val="center"/>
                </w:tcPr>
                <w:p>
                  <w:pPr>
                    <w:spacing w:line="240" w:lineRule="auto"/>
                    <w:jc w:val="center"/>
                    <w:rPr>
                      <w:rFonts w:ascii="Times New Roman" w:hAnsi="Times New Roman" w:eastAsia="宋体" w:cs="Times New Roman"/>
                      <w:color w:val="auto"/>
                    </w:rPr>
                  </w:pPr>
                </w:p>
              </w:tc>
              <w:tc>
                <w:tcPr>
                  <w:tcW w:w="1214"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汽车</w:t>
                  </w:r>
                </w:p>
              </w:tc>
              <w:tc>
                <w:tcPr>
                  <w:tcW w:w="1016" w:type="dxa"/>
                  <w:tcBorders>
                    <w:tl2br w:val="nil"/>
                    <w:tr2bl w:val="nil"/>
                  </w:tcBorders>
                  <w:vAlign w:val="center"/>
                </w:tcPr>
                <w:p>
                  <w:pPr>
                    <w:spacing w:line="240" w:lineRule="auto"/>
                    <w:jc w:val="center"/>
                    <w:rPr>
                      <w:rFonts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41" w:type="dxa"/>
                  <w:vMerge w:val="continue"/>
                  <w:tcBorders>
                    <w:tl2br w:val="nil"/>
                    <w:tr2bl w:val="nil"/>
                  </w:tcBorders>
                  <w:vAlign w:val="center"/>
                </w:tcPr>
                <w:p>
                  <w:pPr>
                    <w:spacing w:line="240" w:lineRule="auto"/>
                    <w:jc w:val="center"/>
                    <w:rPr>
                      <w:rFonts w:ascii="Times New Roman" w:hAnsi="Times New Roman" w:eastAsia="宋体" w:cs="Times New Roman"/>
                      <w:color w:val="auto"/>
                    </w:rPr>
                  </w:pPr>
                </w:p>
              </w:tc>
              <w:tc>
                <w:tcPr>
                  <w:tcW w:w="1436" w:type="dxa"/>
                  <w:tcBorders>
                    <w:tl2br w:val="nil"/>
                    <w:tr2bl w:val="nil"/>
                  </w:tcBorders>
                  <w:vAlign w:val="center"/>
                </w:tcPr>
                <w:p>
                  <w:pPr>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聚合氯化铝（PAC）</w:t>
                  </w:r>
                </w:p>
              </w:tc>
              <w:tc>
                <w:tcPr>
                  <w:tcW w:w="1072"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w:t>
                  </w:r>
                </w:p>
              </w:tc>
              <w:tc>
                <w:tcPr>
                  <w:tcW w:w="779" w:type="dxa"/>
                  <w:tcBorders>
                    <w:tl2br w:val="nil"/>
                    <w:tr2bl w:val="nil"/>
                  </w:tcBorders>
                  <w:vAlign w:val="center"/>
                </w:tcPr>
                <w:p>
                  <w:pPr>
                    <w:spacing w:line="24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rPr>
                    <w:t>t/a</w:t>
                  </w:r>
                </w:p>
              </w:tc>
              <w:tc>
                <w:tcPr>
                  <w:tcW w:w="787"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外购</w:t>
                  </w:r>
                </w:p>
              </w:tc>
              <w:tc>
                <w:tcPr>
                  <w:tcW w:w="1245" w:type="dxa"/>
                  <w:tcBorders>
                    <w:tl2br w:val="nil"/>
                    <w:tr2bl w:val="nil"/>
                  </w:tcBorders>
                  <w:vAlign w:val="center"/>
                </w:tcPr>
                <w:p>
                  <w:pPr>
                    <w:spacing w:line="240" w:lineRule="auto"/>
                    <w:jc w:val="center"/>
                    <w:rPr>
                      <w:rFonts w:ascii="Times New Roman" w:hAnsi="Times New Roman" w:eastAsia="宋体" w:cs="Times New Roman"/>
                      <w:color w:val="auto"/>
                    </w:rPr>
                  </w:pPr>
                </w:p>
              </w:tc>
              <w:tc>
                <w:tcPr>
                  <w:tcW w:w="1214"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汽车</w:t>
                  </w:r>
                </w:p>
              </w:tc>
              <w:tc>
                <w:tcPr>
                  <w:tcW w:w="1016" w:type="dxa"/>
                  <w:tcBorders>
                    <w:tl2br w:val="nil"/>
                    <w:tr2bl w:val="nil"/>
                  </w:tcBorders>
                  <w:vAlign w:val="center"/>
                </w:tcPr>
                <w:p>
                  <w:pPr>
                    <w:spacing w:line="240" w:lineRule="auto"/>
                    <w:jc w:val="center"/>
                    <w:rPr>
                      <w:rFonts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dxa"/>
                  <w:vMerge w:val="continue"/>
                  <w:tcBorders>
                    <w:tl2br w:val="nil"/>
                    <w:tr2bl w:val="nil"/>
                  </w:tcBorders>
                  <w:vAlign w:val="center"/>
                </w:tcPr>
                <w:p>
                  <w:pPr>
                    <w:spacing w:line="240" w:lineRule="auto"/>
                    <w:jc w:val="center"/>
                    <w:rPr>
                      <w:rFonts w:ascii="Times New Roman" w:hAnsi="Times New Roman" w:eastAsia="宋体" w:cs="Times New Roman"/>
                      <w:color w:val="auto"/>
                    </w:rPr>
                  </w:pPr>
                </w:p>
              </w:tc>
              <w:tc>
                <w:tcPr>
                  <w:tcW w:w="1436"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二氧化氯消毒剂</w:t>
                  </w:r>
                </w:p>
              </w:tc>
              <w:tc>
                <w:tcPr>
                  <w:tcW w:w="1072"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779" w:type="dxa"/>
                  <w:tcBorders>
                    <w:tl2br w:val="nil"/>
                    <w:tr2bl w:val="nil"/>
                  </w:tcBorders>
                  <w:vAlign w:val="center"/>
                </w:tcPr>
                <w:p>
                  <w:pPr>
                    <w:spacing w:line="240" w:lineRule="auto"/>
                    <w:jc w:val="center"/>
                    <w:rPr>
                      <w:rFonts w:ascii="Times New Roman" w:hAnsi="Times New Roman" w:eastAsia="宋体" w:cs="Times New Roman"/>
                      <w:color w:val="auto"/>
                      <w:kern w:val="0"/>
                      <w:szCs w:val="21"/>
                    </w:rPr>
                  </w:pPr>
                  <w:r>
                    <w:rPr>
                      <w:rFonts w:ascii="Times New Roman" w:hAnsi="Times New Roman" w:eastAsia="宋体" w:cs="Times New Roman"/>
                      <w:color w:val="auto"/>
                    </w:rPr>
                    <w:t>t/a</w:t>
                  </w:r>
                </w:p>
              </w:tc>
              <w:tc>
                <w:tcPr>
                  <w:tcW w:w="787"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外购</w:t>
                  </w:r>
                </w:p>
              </w:tc>
              <w:tc>
                <w:tcPr>
                  <w:tcW w:w="1245" w:type="dxa"/>
                  <w:tcBorders>
                    <w:tl2br w:val="nil"/>
                    <w:tr2bl w:val="nil"/>
                  </w:tcBorders>
                  <w:vAlign w:val="center"/>
                </w:tcPr>
                <w:p>
                  <w:pPr>
                    <w:spacing w:line="240" w:lineRule="auto"/>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二氧化氯</w:t>
                  </w:r>
                </w:p>
              </w:tc>
              <w:tc>
                <w:tcPr>
                  <w:tcW w:w="1214"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汽车</w:t>
                  </w:r>
                </w:p>
              </w:tc>
              <w:tc>
                <w:tcPr>
                  <w:tcW w:w="1016" w:type="dxa"/>
                  <w:tcBorders>
                    <w:tl2br w:val="nil"/>
                    <w:tr2bl w:val="nil"/>
                  </w:tcBorders>
                  <w:vAlign w:val="center"/>
                </w:tcPr>
                <w:p>
                  <w:pPr>
                    <w:spacing w:line="240" w:lineRule="auto"/>
                    <w:jc w:val="center"/>
                    <w:rPr>
                      <w:rFonts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dxa"/>
                  <w:vMerge w:val="restart"/>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能源</w:t>
                  </w:r>
                </w:p>
              </w:tc>
              <w:tc>
                <w:tcPr>
                  <w:tcW w:w="1436"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电</w:t>
                  </w:r>
                </w:p>
              </w:tc>
              <w:tc>
                <w:tcPr>
                  <w:tcW w:w="1072" w:type="dxa"/>
                  <w:tcBorders>
                    <w:tl2br w:val="nil"/>
                    <w:tr2bl w:val="nil"/>
                  </w:tcBorders>
                  <w:vAlign w:val="center"/>
                </w:tcPr>
                <w:p>
                  <w:pPr>
                    <w:spacing w:line="240" w:lineRule="auto"/>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556.2</w:t>
                  </w:r>
                  <w:r>
                    <w:rPr>
                      <w:rFonts w:ascii="Times New Roman" w:hAnsi="Times New Roman" w:eastAsia="宋体" w:cs="Times New Roman"/>
                      <w:color w:val="auto"/>
                    </w:rPr>
                    <w:t>万</w:t>
                  </w:r>
                </w:p>
              </w:tc>
              <w:tc>
                <w:tcPr>
                  <w:tcW w:w="779" w:type="dxa"/>
                  <w:tcBorders>
                    <w:tl2br w:val="nil"/>
                    <w:tr2bl w:val="nil"/>
                  </w:tcBorders>
                  <w:vAlign w:val="center"/>
                </w:tcPr>
                <w:p>
                  <w:pPr>
                    <w:spacing w:line="240" w:lineRule="auto"/>
                    <w:jc w:val="center"/>
                    <w:rPr>
                      <w:rFonts w:ascii="Times New Roman" w:hAnsi="Times New Roman" w:eastAsia="宋体" w:cs="Times New Roman"/>
                      <w:color w:val="auto"/>
                      <w:spacing w:val="-20"/>
                    </w:rPr>
                  </w:pPr>
                  <w:r>
                    <w:rPr>
                      <w:rFonts w:ascii="Times New Roman" w:hAnsi="Times New Roman" w:eastAsia="宋体" w:cs="Times New Roman"/>
                      <w:color w:val="auto"/>
                      <w:spacing w:val="-20"/>
                    </w:rPr>
                    <w:t>kW·h/a</w:t>
                  </w:r>
                </w:p>
              </w:tc>
              <w:tc>
                <w:tcPr>
                  <w:tcW w:w="787" w:type="dxa"/>
                  <w:vMerge w:val="restart"/>
                  <w:tcBorders>
                    <w:tl2br w:val="nil"/>
                    <w:tr2bl w:val="nil"/>
                  </w:tcBorders>
                  <w:vAlign w:val="center"/>
                </w:tcPr>
                <w:p>
                  <w:pPr>
                    <w:spacing w:line="240" w:lineRule="auto"/>
                    <w:jc w:val="center"/>
                    <w:rPr>
                      <w:rFonts w:hint="eastAsia" w:ascii="Times New Roman" w:hAnsi="Times New Roman" w:eastAsia="宋体" w:cs="Times New Roman"/>
                      <w:color w:val="auto"/>
                      <w:lang w:eastAsia="zh-CN"/>
                    </w:rPr>
                  </w:pPr>
                  <w:r>
                    <w:rPr>
                      <w:rFonts w:ascii="Times New Roman" w:hAnsi="Times New Roman" w:eastAsia="宋体" w:cs="Times New Roman"/>
                      <w:color w:val="auto"/>
                    </w:rPr>
                    <w:t>繁峙县</w:t>
                  </w:r>
                  <w:r>
                    <w:rPr>
                      <w:rFonts w:hint="eastAsia" w:ascii="Times New Roman" w:hAnsi="Times New Roman" w:eastAsia="宋体" w:cs="Times New Roman"/>
                      <w:color w:val="auto"/>
                      <w:lang w:val="en-US" w:eastAsia="zh-CN"/>
                    </w:rPr>
                    <w:t>县城</w:t>
                  </w:r>
                </w:p>
              </w:tc>
              <w:tc>
                <w:tcPr>
                  <w:tcW w:w="1245"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214"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电网</w:t>
                  </w:r>
                </w:p>
              </w:tc>
              <w:tc>
                <w:tcPr>
                  <w:tcW w:w="1016" w:type="dxa"/>
                  <w:vMerge w:val="restart"/>
                  <w:tcBorders>
                    <w:tl2br w:val="nil"/>
                    <w:tr2bl w:val="nil"/>
                  </w:tcBorders>
                  <w:vAlign w:val="center"/>
                </w:tcPr>
                <w:p>
                  <w:pPr>
                    <w:spacing w:line="240" w:lineRule="auto"/>
                    <w:jc w:val="center"/>
                    <w:rPr>
                      <w:rFonts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dxa"/>
                  <w:vMerge w:val="continue"/>
                  <w:tcBorders>
                    <w:tl2br w:val="nil"/>
                    <w:tr2bl w:val="nil"/>
                  </w:tcBorders>
                  <w:vAlign w:val="center"/>
                </w:tcPr>
                <w:p>
                  <w:pPr>
                    <w:spacing w:line="240" w:lineRule="auto"/>
                    <w:jc w:val="center"/>
                    <w:rPr>
                      <w:rFonts w:ascii="Times New Roman" w:hAnsi="Times New Roman" w:eastAsia="宋体" w:cs="Times New Roman"/>
                      <w:color w:val="auto"/>
                    </w:rPr>
                  </w:pPr>
                </w:p>
              </w:tc>
              <w:tc>
                <w:tcPr>
                  <w:tcW w:w="1436"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水</w:t>
                  </w:r>
                </w:p>
              </w:tc>
              <w:tc>
                <w:tcPr>
                  <w:tcW w:w="1072" w:type="dxa"/>
                  <w:tcBorders>
                    <w:tl2br w:val="nil"/>
                    <w:tr2bl w:val="nil"/>
                  </w:tcBorders>
                  <w:vAlign w:val="center"/>
                </w:tcPr>
                <w:p>
                  <w:pPr>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2628</w:t>
                  </w:r>
                </w:p>
              </w:tc>
              <w:tc>
                <w:tcPr>
                  <w:tcW w:w="779" w:type="dxa"/>
                  <w:tcBorders>
                    <w:tl2br w:val="nil"/>
                    <w:tr2bl w:val="nil"/>
                  </w:tcBorders>
                  <w:vAlign w:val="center"/>
                </w:tcPr>
                <w:p>
                  <w:pPr>
                    <w:spacing w:line="240" w:lineRule="auto"/>
                    <w:jc w:val="center"/>
                    <w:rPr>
                      <w:rFonts w:ascii="Times New Roman" w:hAnsi="Times New Roman" w:eastAsia="宋体" w:cs="Times New Roman"/>
                      <w:color w:val="auto"/>
                      <w:spacing w:val="-20"/>
                    </w:rPr>
                  </w:pPr>
                  <w:r>
                    <w:rPr>
                      <w:rFonts w:ascii="Times New Roman" w:hAnsi="Times New Roman" w:eastAsia="宋体" w:cs="Times New Roman"/>
                      <w:color w:val="auto"/>
                      <w:kern w:val="0"/>
                      <w:szCs w:val="21"/>
                    </w:rPr>
                    <w:t>m</w:t>
                  </w:r>
                  <w:r>
                    <w:rPr>
                      <w:rFonts w:ascii="Times New Roman" w:hAnsi="Times New Roman" w:eastAsia="宋体" w:cs="Times New Roman"/>
                      <w:color w:val="auto"/>
                      <w:kern w:val="0"/>
                      <w:szCs w:val="21"/>
                      <w:vertAlign w:val="superscript"/>
                    </w:rPr>
                    <w:t>3</w:t>
                  </w:r>
                  <w:r>
                    <w:rPr>
                      <w:rFonts w:ascii="Times New Roman" w:hAnsi="Times New Roman" w:eastAsia="宋体" w:cs="Times New Roman"/>
                      <w:color w:val="auto"/>
                      <w:spacing w:val="-20"/>
                    </w:rPr>
                    <w:t>/a</w:t>
                  </w:r>
                </w:p>
              </w:tc>
              <w:tc>
                <w:tcPr>
                  <w:tcW w:w="787" w:type="dxa"/>
                  <w:vMerge w:val="continue"/>
                  <w:tcBorders>
                    <w:tl2br w:val="nil"/>
                    <w:tr2bl w:val="nil"/>
                  </w:tcBorders>
                  <w:vAlign w:val="center"/>
                </w:tcPr>
                <w:p>
                  <w:pPr>
                    <w:spacing w:line="240" w:lineRule="auto"/>
                    <w:jc w:val="center"/>
                    <w:rPr>
                      <w:rFonts w:ascii="Times New Roman" w:hAnsi="Times New Roman" w:eastAsia="宋体" w:cs="Times New Roman"/>
                      <w:color w:val="auto"/>
                      <w:szCs w:val="21"/>
                    </w:rPr>
                  </w:pPr>
                </w:p>
              </w:tc>
              <w:tc>
                <w:tcPr>
                  <w:tcW w:w="1245"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214" w:type="dxa"/>
                  <w:tcBorders>
                    <w:tl2br w:val="nil"/>
                    <w:tr2bl w:val="nil"/>
                  </w:tcBorders>
                  <w:vAlign w:val="center"/>
                </w:tcPr>
                <w:p>
                  <w:pPr>
                    <w:spacing w:line="240" w:lineRule="auto"/>
                    <w:jc w:val="center"/>
                    <w:rPr>
                      <w:rFonts w:ascii="Times New Roman" w:hAnsi="Times New Roman" w:eastAsia="宋体" w:cs="Times New Roman"/>
                      <w:color w:val="auto"/>
                    </w:rPr>
                  </w:pPr>
                  <w:r>
                    <w:rPr>
                      <w:rFonts w:ascii="Times New Roman" w:hAnsi="Times New Roman" w:eastAsia="宋体" w:cs="Times New Roman"/>
                      <w:color w:val="auto"/>
                    </w:rPr>
                    <w:t>管网</w:t>
                  </w:r>
                </w:p>
              </w:tc>
              <w:tc>
                <w:tcPr>
                  <w:tcW w:w="1016" w:type="dxa"/>
                  <w:vMerge w:val="continue"/>
                  <w:tcBorders>
                    <w:tl2br w:val="nil"/>
                    <w:tr2bl w:val="nil"/>
                  </w:tcBorders>
                  <w:vAlign w:val="center"/>
                </w:tcPr>
                <w:p>
                  <w:pPr>
                    <w:spacing w:line="240" w:lineRule="auto"/>
                    <w:jc w:val="center"/>
                    <w:rPr>
                      <w:rFonts w:ascii="Times New Roman" w:hAnsi="Times New Roman" w:eastAsia="宋体" w:cs="Times New Roman"/>
                      <w:color w:val="auto"/>
                    </w:rPr>
                  </w:pPr>
                </w:p>
              </w:tc>
            </w:tr>
          </w:tbl>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表2-7 要原辅材料理化性质一览表</w:t>
            </w:r>
          </w:p>
          <w:tbl>
            <w:tblPr>
              <w:tblStyle w:val="24"/>
              <w:tblW w:w="80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
              <w:gridCol w:w="864"/>
              <w:gridCol w:w="3878"/>
              <w:gridCol w:w="2054"/>
              <w:gridCol w:w="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dxa"/>
                  <w:tcBorders>
                    <w:tl2br w:val="nil"/>
                    <w:tr2bl w:val="nil"/>
                  </w:tcBorders>
                  <w:vAlign w:val="center"/>
                </w:tcPr>
                <w:p>
                  <w:pPr>
                    <w:spacing w:line="3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名称</w:t>
                  </w:r>
                </w:p>
              </w:tc>
              <w:tc>
                <w:tcPr>
                  <w:tcW w:w="864" w:type="dxa"/>
                  <w:tcBorders>
                    <w:tl2br w:val="nil"/>
                    <w:tr2bl w:val="nil"/>
                  </w:tcBorders>
                  <w:vAlign w:val="center"/>
                </w:tcPr>
                <w:p>
                  <w:pPr>
                    <w:spacing w:line="3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成分/化学式</w:t>
                  </w:r>
                </w:p>
              </w:tc>
              <w:tc>
                <w:tcPr>
                  <w:tcW w:w="3878" w:type="dxa"/>
                  <w:tcBorders>
                    <w:tl2br w:val="nil"/>
                    <w:tr2bl w:val="nil"/>
                  </w:tcBorders>
                  <w:vAlign w:val="center"/>
                </w:tcPr>
                <w:p>
                  <w:pPr>
                    <w:spacing w:line="3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理化特性</w:t>
                  </w:r>
                </w:p>
              </w:tc>
              <w:tc>
                <w:tcPr>
                  <w:tcW w:w="2054" w:type="dxa"/>
                  <w:tcBorders>
                    <w:tl2br w:val="nil"/>
                    <w:tr2bl w:val="nil"/>
                  </w:tcBorders>
                  <w:vAlign w:val="center"/>
                </w:tcPr>
                <w:p>
                  <w:pPr>
                    <w:spacing w:line="3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危险特性</w:t>
                  </w:r>
                </w:p>
              </w:tc>
              <w:tc>
                <w:tcPr>
                  <w:tcW w:w="828" w:type="dxa"/>
                  <w:tcBorders>
                    <w:tl2br w:val="nil"/>
                    <w:tr2bl w:val="nil"/>
                  </w:tcBorders>
                  <w:vAlign w:val="center"/>
                </w:tcPr>
                <w:p>
                  <w:pPr>
                    <w:spacing w:line="300" w:lineRule="exact"/>
                    <w:jc w:val="center"/>
                    <w:rPr>
                      <w:rFonts w:ascii="Times New Roman" w:hAnsi="Times New Roman" w:eastAsia="宋体" w:cs="Times New Roman"/>
                      <w:b/>
                      <w:bCs/>
                      <w:color w:val="auto"/>
                    </w:rPr>
                  </w:pPr>
                  <w:r>
                    <w:rPr>
                      <w:rFonts w:ascii="Times New Roman" w:hAnsi="Times New Roman" w:eastAsia="宋体" w:cs="Times New Roman"/>
                      <w:b/>
                      <w:bCs/>
                      <w:color w:val="auto"/>
                    </w:rPr>
                    <w:t>毒理毒性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6" w:type="dxa"/>
                  <w:tcBorders>
                    <w:tl2br w:val="nil"/>
                    <w:tr2bl w:val="nil"/>
                  </w:tcBorders>
                  <w:vAlign w:val="center"/>
                </w:tcPr>
                <w:p>
                  <w:pPr>
                    <w:spacing w:line="300" w:lineRule="exact"/>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二氧化氯</w:t>
                  </w:r>
                </w:p>
              </w:tc>
              <w:tc>
                <w:tcPr>
                  <w:tcW w:w="864" w:type="dxa"/>
                  <w:tcBorders>
                    <w:tl2br w:val="nil"/>
                    <w:tr2bl w:val="nil"/>
                  </w:tcBorders>
                  <w:vAlign w:val="center"/>
                </w:tcPr>
                <w:p>
                  <w:pPr>
                    <w:spacing w:line="300" w:lineRule="exact"/>
                    <w:jc w:val="center"/>
                    <w:rPr>
                      <w:rFonts w:ascii="Times New Roman" w:hAnsi="Times New Roman" w:eastAsia="宋体" w:cs="Times New Roman"/>
                      <w:color w:val="auto"/>
                    </w:rPr>
                  </w:pPr>
                  <w:r>
                    <w:rPr>
                      <w:rFonts w:ascii="Times New Roman" w:hAnsi="Times New Roman" w:eastAsia="宋体" w:cs="Times New Roman"/>
                      <w:color w:val="auto"/>
                    </w:rPr>
                    <w:t>ClO</w:t>
                  </w:r>
                  <w:r>
                    <w:rPr>
                      <w:rFonts w:hint="default" w:ascii="Times New Roman" w:hAnsi="Times New Roman" w:eastAsia="宋体" w:cs="Times New Roman"/>
                      <w:color w:val="auto"/>
                      <w:vertAlign w:val="subscript"/>
                    </w:rPr>
                    <w:t>2</w:t>
                  </w:r>
                </w:p>
              </w:tc>
              <w:tc>
                <w:tcPr>
                  <w:tcW w:w="3878" w:type="dxa"/>
                  <w:tcBorders>
                    <w:tl2br w:val="nil"/>
                    <w:tr2bl w:val="nil"/>
                  </w:tcBorders>
                </w:tcPr>
                <w:p>
                  <w:pPr>
                    <w:spacing w:line="300" w:lineRule="exact"/>
                    <w:jc w:val="center"/>
                    <w:rPr>
                      <w:rFonts w:ascii="Times New Roman" w:hAnsi="Times New Roman" w:eastAsia="宋体" w:cs="Times New Roman"/>
                      <w:color w:val="auto"/>
                    </w:rPr>
                  </w:pPr>
                  <w:r>
                    <w:rPr>
                      <w:rFonts w:ascii="Times New Roman" w:hAnsi="Times New Roman" w:eastAsia="宋体" w:cs="Times New Roman"/>
                      <w:color w:val="auto"/>
                    </w:rPr>
                    <w:t>红黄色有强烈刺激性臭味气体；11℃时液化成红棕色液体，-59℃时凝固成橙红色晶体。有类似氯气和硝酸的特殊刺激臭味。液体为红褐色，固体为橙红色。沸点11℃。相对蒸气密度2.3g/L。遇热水则分解成次氯酸、氯气、氧气，受光也易分解，其溶液于冷暗处相对稳定。二氧化氯能与许多化学物质发生爆炸性反应。对热、震动、撞击和摩擦相当敏感，极易分解发生爆炸。受热和受光照或遇有机物等能促进氧化作用的物质时，能促进分解并易引起爆炸。若用空气、二氧化碳、氮气等惰性气体稀释时，爆炸性则降低。属强氧化剂，其有效氯是氯的2.6倍。与很多物质都能发生剧烈反应。腐蚀性很强。</w:t>
                  </w:r>
                </w:p>
              </w:tc>
              <w:tc>
                <w:tcPr>
                  <w:tcW w:w="2054" w:type="dxa"/>
                  <w:tcBorders>
                    <w:tl2br w:val="nil"/>
                    <w:tr2bl w:val="nil"/>
                  </w:tcBorders>
                  <w:vAlign w:val="center"/>
                </w:tcPr>
                <w:p>
                  <w:pPr>
                    <w:spacing w:line="300" w:lineRule="exact"/>
                    <w:jc w:val="center"/>
                    <w:rPr>
                      <w:rFonts w:ascii="Times New Roman" w:hAnsi="Times New Roman" w:eastAsia="宋体" w:cs="Times New Roman"/>
                      <w:color w:val="auto"/>
                    </w:rPr>
                  </w:pPr>
                  <w:r>
                    <w:rPr>
                      <w:rFonts w:ascii="Helvetica" w:hAnsi="Helvetica" w:eastAsia="Helvetica" w:cs="Helvetica"/>
                      <w:i w:val="0"/>
                      <w:iCs w:val="0"/>
                      <w:caps w:val="0"/>
                      <w:color w:val="auto"/>
                      <w:spacing w:val="0"/>
                      <w:sz w:val="21"/>
                      <w:szCs w:val="21"/>
                      <w:shd w:val="clear" w:fill="FFFFFF"/>
                    </w:rPr>
                    <w:t>二氧化氯具有强氧化性，空气中的体积浓度超过10%便有爆炸性，但其水溶液却是十分安全的（水中含量超过30%易爆炸）。它能与许多化学物质发生爆炸性反应，对受热、震动、撞击、摩擦等相当敏感，极易分解发生爆炸。</w:t>
                  </w:r>
                </w:p>
              </w:tc>
              <w:tc>
                <w:tcPr>
                  <w:tcW w:w="828" w:type="dxa"/>
                  <w:tcBorders>
                    <w:tl2br w:val="nil"/>
                    <w:tr2bl w:val="nil"/>
                  </w:tcBorders>
                  <w:vAlign w:val="center"/>
                </w:tcPr>
                <w:p>
                  <w:pPr>
                    <w:spacing w:line="300" w:lineRule="exact"/>
                    <w:jc w:val="center"/>
                    <w:rPr>
                      <w:rFonts w:ascii="Times New Roman" w:hAnsi="Times New Roman" w:eastAsia="宋体" w:cs="Times New Roman"/>
                      <w:color w:val="auto"/>
                    </w:rPr>
                  </w:pPr>
                  <w:r>
                    <w:rPr>
                      <w:rFonts w:ascii="Times New Roman" w:hAnsi="Times New Roman" w:eastAsia="宋体" w:cs="Times New Roman"/>
                      <w:color w:val="auto"/>
                    </w:rPr>
                    <w:t>受热分解有毒含氧化钠气体</w:t>
                  </w:r>
                </w:p>
              </w:tc>
            </w:tr>
          </w:tbl>
          <w:p>
            <w:pPr>
              <w:adjustRightInd w:val="0"/>
              <w:snapToGrid w:val="0"/>
              <w:spacing w:line="360" w:lineRule="auto"/>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6"/>
                <w:sz w:val="24"/>
                <w:szCs w:val="24"/>
              </w:rPr>
              <w:t>2.6</w:t>
            </w:r>
            <w:r>
              <w:rPr>
                <w:rFonts w:ascii="Times New Roman" w:hAnsi="Times New Roman" w:eastAsia="宋体" w:cs="Times New Roman"/>
                <w:b/>
                <w:bCs/>
                <w:color w:val="auto"/>
                <w:sz w:val="24"/>
                <w:szCs w:val="24"/>
              </w:rPr>
              <w:t>生产制度及劳动定员</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厂区工作人员</w:t>
            </w:r>
            <w:r>
              <w:rPr>
                <w:rFonts w:hint="eastAsia" w:ascii="Times New Roman" w:hAnsi="Times New Roman" w:eastAsia="宋体" w:cs="Times New Roman"/>
                <w:color w:val="auto"/>
                <w:sz w:val="24"/>
                <w:szCs w:val="24"/>
                <w:lang w:val="en-US" w:eastAsia="zh-CN"/>
              </w:rPr>
              <w:t>共30</w:t>
            </w:r>
            <w:r>
              <w:rPr>
                <w:rFonts w:hint="eastAsia" w:ascii="Times New Roman" w:hAnsi="Times New Roman" w:eastAsia="宋体" w:cs="Times New Roman"/>
                <w:color w:val="auto"/>
                <w:sz w:val="24"/>
                <w:szCs w:val="24"/>
              </w:rPr>
              <w:t>人，</w:t>
            </w:r>
            <w:r>
              <w:rPr>
                <w:rFonts w:ascii="Times New Roman" w:hAnsi="Times New Roman" w:eastAsia="宋体" w:cs="Times New Roman"/>
                <w:color w:val="auto"/>
                <w:sz w:val="24"/>
                <w:szCs w:val="24"/>
              </w:rPr>
              <w:t>生产人员一日三班，</w:t>
            </w:r>
            <w:r>
              <w:rPr>
                <w:rFonts w:hint="eastAsia" w:ascii="Times New Roman" w:hAnsi="Times New Roman" w:eastAsia="宋体" w:cs="Times New Roman"/>
                <w:color w:val="auto"/>
                <w:sz w:val="24"/>
                <w:szCs w:val="24"/>
                <w:lang w:eastAsia="zh-CN"/>
              </w:rPr>
              <w:t>其他人员</w:t>
            </w:r>
            <w:r>
              <w:rPr>
                <w:rFonts w:ascii="Times New Roman" w:hAnsi="Times New Roman" w:eastAsia="宋体" w:cs="Times New Roman"/>
                <w:color w:val="auto"/>
                <w:sz w:val="24"/>
                <w:szCs w:val="24"/>
              </w:rPr>
              <w:t>一日一班，每班工作8小时，年工作日为365天。管理运行机构及</w:t>
            </w:r>
            <w:r>
              <w:rPr>
                <w:rFonts w:hint="eastAsia" w:ascii="Times New Roman" w:hAnsi="Times New Roman" w:eastAsia="宋体" w:cs="Times New Roman"/>
                <w:color w:val="auto"/>
                <w:sz w:val="24"/>
                <w:szCs w:val="24"/>
              </w:rPr>
              <w:t>新增</w:t>
            </w:r>
            <w:r>
              <w:rPr>
                <w:rFonts w:ascii="Times New Roman" w:hAnsi="Times New Roman" w:eastAsia="宋体" w:cs="Times New Roman"/>
                <w:color w:val="auto"/>
                <w:sz w:val="24"/>
                <w:szCs w:val="24"/>
              </w:rPr>
              <w:t>劳动定员见表 2-8。</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w:t>
            </w:r>
            <w:r>
              <w:rPr>
                <w:rFonts w:ascii="Times New Roman" w:hAnsi="Times New Roman" w:eastAsia="宋体"/>
                <w:color w:val="auto"/>
                <w:spacing w:val="-60"/>
                <w:sz w:val="24"/>
                <w:szCs w:val="24"/>
              </w:rPr>
              <w:t xml:space="preserve"> </w:t>
            </w:r>
            <w:r>
              <w:rPr>
                <w:rFonts w:ascii="Times New Roman" w:hAnsi="Times New Roman" w:eastAsia="宋体"/>
                <w:color w:val="auto"/>
                <w:sz w:val="24"/>
                <w:szCs w:val="24"/>
              </w:rPr>
              <w:t xml:space="preserve">2-8 </w:t>
            </w:r>
            <w:r>
              <w:rPr>
                <w:rFonts w:hint="eastAsia" w:ascii="Times New Roman" w:hAnsi="Times New Roman" w:eastAsia="宋体"/>
                <w:color w:val="auto"/>
                <w:sz w:val="24"/>
                <w:szCs w:val="24"/>
              </w:rPr>
              <w:t>新增</w:t>
            </w:r>
            <w:r>
              <w:rPr>
                <w:rFonts w:ascii="Times New Roman" w:hAnsi="Times New Roman" w:eastAsia="宋体"/>
                <w:color w:val="auto"/>
                <w:sz w:val="24"/>
                <w:szCs w:val="24"/>
              </w:rPr>
              <w:t>劳动定员表</w:t>
            </w:r>
          </w:p>
          <w:tbl>
            <w:tblPr>
              <w:tblStyle w:val="45"/>
              <w:tblW w:w="809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38"/>
              <w:gridCol w:w="1541"/>
              <w:gridCol w:w="1941"/>
              <w:gridCol w:w="1941"/>
              <w:gridCol w:w="11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538"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b/>
                      <w:bCs/>
                      <w:color w:val="auto"/>
                      <w:sz w:val="21"/>
                      <w:szCs w:val="21"/>
                      <w:lang w:eastAsia="zh-CN"/>
                    </w:rPr>
                  </w:pPr>
                  <w:r>
                    <w:rPr>
                      <w:rFonts w:eastAsia="宋体"/>
                      <w:b/>
                      <w:bCs/>
                      <w:color w:val="auto"/>
                      <w:sz w:val="21"/>
                      <w:szCs w:val="21"/>
                      <w:lang w:eastAsia="zh-CN"/>
                    </w:rPr>
                    <w:t>部门</w:t>
                  </w:r>
                </w:p>
              </w:tc>
              <w:tc>
                <w:tcPr>
                  <w:tcW w:w="15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b/>
                      <w:bCs/>
                      <w:color w:val="auto"/>
                      <w:sz w:val="21"/>
                      <w:szCs w:val="21"/>
                      <w:lang w:eastAsia="zh-CN"/>
                    </w:rPr>
                  </w:pPr>
                  <w:r>
                    <w:rPr>
                      <w:rFonts w:eastAsia="宋体"/>
                      <w:b/>
                      <w:bCs/>
                      <w:color w:val="auto"/>
                      <w:sz w:val="21"/>
                      <w:szCs w:val="21"/>
                      <w:lang w:eastAsia="zh-CN"/>
                    </w:rPr>
                    <w:t>岗位</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b/>
                      <w:bCs/>
                      <w:color w:val="auto"/>
                      <w:sz w:val="21"/>
                      <w:szCs w:val="21"/>
                      <w:lang w:eastAsia="zh-CN"/>
                    </w:rPr>
                  </w:pPr>
                  <w:r>
                    <w:rPr>
                      <w:rFonts w:eastAsia="宋体"/>
                      <w:b/>
                      <w:bCs/>
                      <w:color w:val="auto"/>
                      <w:sz w:val="21"/>
                      <w:szCs w:val="21"/>
                      <w:lang w:eastAsia="zh-CN"/>
                    </w:rPr>
                    <w:t>工作制度</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b/>
                      <w:bCs/>
                      <w:color w:val="auto"/>
                      <w:sz w:val="21"/>
                      <w:szCs w:val="21"/>
                      <w:lang w:eastAsia="zh-CN"/>
                    </w:rPr>
                  </w:pPr>
                  <w:r>
                    <w:rPr>
                      <w:rFonts w:eastAsia="宋体"/>
                      <w:b/>
                      <w:bCs/>
                      <w:color w:val="auto"/>
                      <w:sz w:val="21"/>
                      <w:szCs w:val="21"/>
                      <w:lang w:eastAsia="zh-CN"/>
                    </w:rPr>
                    <w:t>每班人数</w:t>
                  </w:r>
                </w:p>
              </w:tc>
              <w:tc>
                <w:tcPr>
                  <w:tcW w:w="112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b/>
                      <w:bCs/>
                      <w:color w:val="auto"/>
                      <w:sz w:val="21"/>
                      <w:szCs w:val="21"/>
                      <w:lang w:eastAsia="zh-CN"/>
                    </w:rPr>
                  </w:pPr>
                  <w:r>
                    <w:rPr>
                      <w:rFonts w:eastAsia="宋体"/>
                      <w:b/>
                      <w:bCs/>
                      <w:color w:val="auto"/>
                      <w:sz w:val="21"/>
                      <w:szCs w:val="21"/>
                      <w:lang w:eastAsia="zh-CN"/>
                    </w:rPr>
                    <w:t>定员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38"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厂部</w:t>
                  </w:r>
                </w:p>
              </w:tc>
              <w:tc>
                <w:tcPr>
                  <w:tcW w:w="15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厂长</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5 班/周</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hint="eastAsia" w:eastAsia="宋体"/>
                      <w:color w:val="auto"/>
                      <w:sz w:val="21"/>
                      <w:szCs w:val="21"/>
                      <w:lang w:val="en-US" w:eastAsia="zh-CN"/>
                    </w:rPr>
                    <w:t>1</w:t>
                  </w:r>
                </w:p>
              </w:tc>
              <w:tc>
                <w:tcPr>
                  <w:tcW w:w="112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hint="eastAsia" w:eastAsia="宋体"/>
                      <w:color w:val="auto"/>
                      <w:sz w:val="21"/>
                      <w:szCs w:val="21"/>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1538"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财务科</w:t>
                  </w:r>
                </w:p>
              </w:tc>
              <w:tc>
                <w:tcPr>
                  <w:tcW w:w="15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会计</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5 班/周</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hint="eastAsia" w:eastAsia="宋体"/>
                      <w:color w:val="auto"/>
                      <w:sz w:val="21"/>
                      <w:szCs w:val="21"/>
                      <w:lang w:val="en-US" w:eastAsia="zh-CN"/>
                    </w:rPr>
                    <w:t>1</w:t>
                  </w:r>
                </w:p>
              </w:tc>
              <w:tc>
                <w:tcPr>
                  <w:tcW w:w="112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hint="eastAsia" w:eastAsia="宋体"/>
                      <w:color w:val="auto"/>
                      <w:sz w:val="21"/>
                      <w:szCs w:val="21"/>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38"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生产科</w:t>
                  </w:r>
                </w:p>
              </w:tc>
              <w:tc>
                <w:tcPr>
                  <w:tcW w:w="15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化验员</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7 班/周</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hint="eastAsia" w:eastAsia="宋体"/>
                      <w:color w:val="auto"/>
                      <w:sz w:val="21"/>
                      <w:szCs w:val="21"/>
                      <w:lang w:val="en-US" w:eastAsia="zh-CN"/>
                    </w:rPr>
                    <w:t>4</w:t>
                  </w:r>
                </w:p>
              </w:tc>
              <w:tc>
                <w:tcPr>
                  <w:tcW w:w="112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hint="eastAsia" w:eastAsia="宋体"/>
                      <w:color w:val="auto"/>
                      <w:sz w:val="21"/>
                      <w:szCs w:val="21"/>
                      <w:lang w:val="en-US" w:eastAsia="zh-CN"/>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8" w:hRule="atLeast"/>
              </w:trPr>
              <w:tc>
                <w:tcPr>
                  <w:tcW w:w="153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ascii="Times New Roman" w:hAnsi="Times New Roman" w:eastAsia="宋体" w:cs="Times New Roman"/>
                      <w:color w:val="auto"/>
                      <w:kern w:val="0"/>
                      <w:sz w:val="21"/>
                      <w:szCs w:val="21"/>
                      <w:lang w:eastAsia="zh-CN"/>
                    </w:rPr>
                  </w:pPr>
                </w:p>
              </w:tc>
              <w:tc>
                <w:tcPr>
                  <w:tcW w:w="15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运转工</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21 班/周</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hint="eastAsia" w:eastAsia="宋体"/>
                      <w:color w:val="auto"/>
                      <w:sz w:val="21"/>
                      <w:szCs w:val="21"/>
                      <w:lang w:val="en-US" w:eastAsia="zh-CN"/>
                    </w:rPr>
                    <w:t>7</w:t>
                  </w:r>
                </w:p>
              </w:tc>
              <w:tc>
                <w:tcPr>
                  <w:tcW w:w="112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3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ascii="Times New Roman" w:hAnsi="Times New Roman" w:eastAsia="宋体" w:cs="Times New Roman"/>
                      <w:color w:val="auto"/>
                      <w:kern w:val="0"/>
                      <w:sz w:val="21"/>
                      <w:szCs w:val="21"/>
                      <w:lang w:eastAsia="zh-CN"/>
                    </w:rPr>
                  </w:pPr>
                </w:p>
              </w:tc>
              <w:tc>
                <w:tcPr>
                  <w:tcW w:w="15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司机</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5 班/周</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hint="eastAsia" w:eastAsia="宋体"/>
                      <w:color w:val="auto"/>
                      <w:sz w:val="21"/>
                      <w:szCs w:val="21"/>
                      <w:lang w:val="en-US" w:eastAsia="zh-CN"/>
                    </w:rPr>
                    <w:t>3</w:t>
                  </w:r>
                </w:p>
              </w:tc>
              <w:tc>
                <w:tcPr>
                  <w:tcW w:w="112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hint="eastAsia" w:eastAsia="宋体"/>
                      <w:color w:val="auto"/>
                      <w:sz w:val="21"/>
                      <w:szCs w:val="21"/>
                      <w:lang w:val="en-US"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538"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p>
              </w:tc>
              <w:tc>
                <w:tcPr>
                  <w:tcW w:w="15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eastAsia="宋体"/>
                      <w:color w:val="auto"/>
                      <w:sz w:val="21"/>
                      <w:szCs w:val="21"/>
                      <w:lang w:eastAsia="zh-CN"/>
                    </w:rPr>
                    <w:t>合计</w:t>
                  </w: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p>
              </w:tc>
              <w:tc>
                <w:tcPr>
                  <w:tcW w:w="19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p>
              </w:tc>
              <w:tc>
                <w:tcPr>
                  <w:tcW w:w="112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spacing w:line="240" w:lineRule="auto"/>
                    <w:ind w:left="0" w:leftChars="0" w:right="0" w:firstLine="0" w:firstLineChars="0"/>
                    <w:jc w:val="center"/>
                    <w:textAlignment w:val="auto"/>
                    <w:rPr>
                      <w:rFonts w:eastAsia="宋体"/>
                      <w:color w:val="auto"/>
                      <w:sz w:val="21"/>
                      <w:szCs w:val="21"/>
                      <w:lang w:eastAsia="zh-CN"/>
                    </w:rPr>
                  </w:pPr>
                  <w:r>
                    <w:rPr>
                      <w:rFonts w:hint="eastAsia" w:eastAsia="宋体"/>
                      <w:color w:val="auto"/>
                      <w:sz w:val="21"/>
                      <w:szCs w:val="21"/>
                      <w:lang w:val="en-US" w:eastAsia="zh-CN"/>
                    </w:rPr>
                    <w:t>3</w:t>
                  </w:r>
                  <w:r>
                    <w:rPr>
                      <w:rFonts w:eastAsia="宋体"/>
                      <w:color w:val="auto"/>
                      <w:sz w:val="21"/>
                      <w:szCs w:val="21"/>
                      <w:lang w:eastAsia="zh-CN"/>
                    </w:rPr>
                    <w:t>0</w:t>
                  </w:r>
                </w:p>
              </w:tc>
            </w:tr>
          </w:tbl>
          <w:p>
            <w:pPr>
              <w:adjustRightInd w:val="0"/>
              <w:snapToGrid w:val="0"/>
              <w:spacing w:line="360" w:lineRule="auto"/>
              <w:rPr>
                <w:rFonts w:ascii="Times New Roman" w:hAnsi="Times New Roman" w:eastAsia="宋体" w:cs="Times New Roman"/>
                <w:b/>
                <w:bCs/>
                <w:color w:val="auto"/>
                <w:spacing w:val="6"/>
                <w:sz w:val="24"/>
                <w:szCs w:val="24"/>
              </w:rPr>
            </w:pPr>
            <w:r>
              <w:rPr>
                <w:rFonts w:ascii="Times New Roman" w:hAnsi="Times New Roman" w:eastAsia="宋体" w:cs="Times New Roman"/>
                <w:b/>
                <w:bCs/>
                <w:color w:val="auto"/>
                <w:spacing w:val="6"/>
                <w:sz w:val="24"/>
                <w:szCs w:val="24"/>
              </w:rPr>
              <w:t>2.7公用工程</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2.7.1供电</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由供电部门引入</w:t>
            </w:r>
            <w:r>
              <w:rPr>
                <w:rFonts w:ascii="Times New Roman" w:hAnsi="Times New Roman" w:eastAsia="宋体" w:cs="Times New Roman"/>
                <w:color w:val="auto"/>
                <w:sz w:val="24"/>
                <w:szCs w:val="24"/>
                <w:lang w:val="en-US" w:eastAsia="zh-CN"/>
              </w:rPr>
              <w:t>10kV</w:t>
            </w:r>
            <w:r>
              <w:rPr>
                <w:rFonts w:hint="eastAsia" w:ascii="Times New Roman" w:hAnsi="Times New Roman" w:eastAsia="宋体" w:cs="Times New Roman"/>
                <w:color w:val="auto"/>
                <w:sz w:val="24"/>
                <w:szCs w:val="24"/>
                <w:lang w:val="en-US" w:eastAsia="zh-CN"/>
              </w:rPr>
              <w:t>专线接入厂区内新建变电站。</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2.7.2供水</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引入县城自来水管网</w:t>
            </w:r>
            <w:r>
              <w:rPr>
                <w:rFonts w:ascii="Times New Roman" w:hAnsi="Times New Roman" w:eastAsia="宋体" w:cs="Times New Roman"/>
                <w:color w:val="auto"/>
                <w:sz w:val="24"/>
                <w:szCs w:val="24"/>
              </w:rPr>
              <w:t>。厂区用水包括办公生活用水、配药用水等，由给水管提供，消防用水由给水管提供。厂区绿化、道路浇洒采用再生水。</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2.7.3采暖</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办公房采用热泵型变制冷剂流量分体式空调系统，卫生间、泵房、综合间采用电暖气片采暖</w:t>
            </w:r>
            <w:r>
              <w:rPr>
                <w:rFonts w:hint="eastAsia" w:ascii="Times New Roman" w:hAnsi="Times New Roman" w:eastAsia="宋体" w:cs="Times New Roman"/>
                <w:color w:val="auto"/>
                <w:sz w:val="24"/>
                <w:szCs w:val="24"/>
                <w:lang w:eastAsia="zh-CN"/>
              </w:rPr>
              <w:t>。</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2.7.</w:t>
            </w:r>
            <w:r>
              <w:rPr>
                <w:rFonts w:hint="eastAsia" w:ascii="Times New Roman" w:hAnsi="Times New Roman" w:eastAsia="宋体" w:cs="Times New Roman"/>
                <w:color w:val="auto"/>
                <w:sz w:val="24"/>
                <w:szCs w:val="24"/>
                <w:lang w:val="en-US" w:eastAsia="zh-CN"/>
              </w:rPr>
              <w:t>4保温措施</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 xml:space="preserve">项目工程所有的生产设施均考虑保温设施，不设置露天构筑物，以保证冬季污水温度。其中粗格栅、细格栅及曝气沉砂池设于建筑物内；污泥池为混凝土池盖；生物池因为需巡查及检修，不便于采用混凝土池盖进行保温。 </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 xml:space="preserve">1、池顶保温方案 </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生物池池顶保温采用玻璃钢盖板。玻璃钢盖板盖在生物池廊道之间，与生物池池顶相平。相较于钢骨架+反吊膜的密闭系统、不锈钢骨架+钢化玻璃的密闭系统、门式钢架密闭系统来说其实施简便，工程造价低，管理人员工作环境好等优点。故采用玻璃钢盖板作为生物池池顶保温的方式。 </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2、池壁保温方案 </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目前，构筑物池壁的保温方案采用常用做法，选用“外贴岩棉板”。</w:t>
            </w:r>
          </w:p>
          <w:p>
            <w:pPr>
              <w:adjustRightInd w:val="0"/>
              <w:snapToGrid w:val="0"/>
              <w:spacing w:line="360" w:lineRule="auto"/>
              <w:rPr>
                <w:rFonts w:ascii="Times New Roman" w:hAnsi="Times New Roman" w:eastAsia="宋体" w:cs="Times New Roman"/>
                <w:b/>
                <w:bCs/>
                <w:color w:val="auto"/>
                <w:spacing w:val="6"/>
                <w:sz w:val="24"/>
                <w:szCs w:val="24"/>
              </w:rPr>
            </w:pPr>
            <w:r>
              <w:rPr>
                <w:rFonts w:ascii="Times New Roman" w:hAnsi="Times New Roman" w:eastAsia="宋体" w:cs="Times New Roman"/>
                <w:b/>
                <w:bCs/>
                <w:color w:val="auto"/>
                <w:spacing w:val="6"/>
                <w:sz w:val="24"/>
                <w:szCs w:val="24"/>
              </w:rPr>
              <w:t>2.8平面布置</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繁峙县第二污水处理厂工程在进行厂区总平面布置时，厂区建、构筑物合理布局，满足防火距离及施工、管道宽度，尽量减少土方工程量。结合厂内外交通、工艺流程、环境景观等因素，统筹兼顾、因地制宜地进行厂区总平面布置。在设计中，根据进出水方向、工艺流程等因素进行布置，体现出分区明确、组织合理、整合有序的功能。</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highlight w:val="none"/>
                <w:lang w:val="en-US" w:eastAsia="zh-CN"/>
              </w:rPr>
              <w:t>结构：节地节</w:t>
            </w:r>
            <w:r>
              <w:rPr>
                <w:rFonts w:hint="eastAsia" w:ascii="Times New Roman" w:hAnsi="Times New Roman" w:eastAsia="宋体" w:cs="Times New Roman"/>
                <w:color w:val="auto"/>
                <w:sz w:val="24"/>
                <w:szCs w:val="24"/>
                <w:lang w:val="en-US" w:eastAsia="zh-CN"/>
              </w:rPr>
              <w:t>能、适用经济、富有变化的建筑结构；出入便利、</w:t>
            </w:r>
            <w:r>
              <w:rPr>
                <w:rFonts w:hint="eastAsia" w:ascii="Times New Roman" w:hAnsi="Times New Roman" w:eastAsia="宋体" w:cs="Times New Roman"/>
                <w:color w:val="auto"/>
                <w:sz w:val="24"/>
                <w:szCs w:val="24"/>
                <w:highlight w:val="none"/>
                <w:lang w:val="en-US" w:eastAsia="zh-CN"/>
              </w:rPr>
              <w:t>曲直 结合、通达顺畅的道路交通；集分结合、景观多变、环境共享的绿化 设置</w:t>
            </w:r>
            <w:r>
              <w:rPr>
                <w:rFonts w:hint="eastAsia" w:ascii="Times New Roman" w:hAnsi="Times New Roman" w:eastAsia="宋体" w:cs="Times New Roman"/>
                <w:color w:val="auto"/>
                <w:sz w:val="24"/>
                <w:szCs w:val="24"/>
                <w:lang w:val="en-US" w:eastAsia="zh-CN"/>
              </w:rPr>
              <w:t xml:space="preserve">。 </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本工程用地位于笔锋</w:t>
            </w:r>
            <w:r>
              <w:rPr>
                <w:rFonts w:hint="default" w:ascii="Times New Roman" w:hAnsi="Times New Roman" w:eastAsia="宋体" w:cs="Times New Roman"/>
                <w:color w:val="auto"/>
                <w:sz w:val="24"/>
                <w:szCs w:val="24"/>
                <w:lang w:val="en-US" w:eastAsia="zh-CN"/>
              </w:rPr>
              <w:t>村</w:t>
            </w:r>
            <w:r>
              <w:rPr>
                <w:rFonts w:hint="eastAsia" w:ascii="Times New Roman" w:hAnsi="Times New Roman" w:eastAsia="宋体" w:cs="Times New Roman"/>
                <w:color w:val="auto"/>
                <w:sz w:val="24"/>
                <w:szCs w:val="24"/>
                <w:lang w:val="en-US" w:eastAsia="zh-CN"/>
              </w:rPr>
              <w:t xml:space="preserve">西南侧1.34km处。其中粗格栅、细格栅、污泥脱水车间以及变配电室布置在厂区南侧；主入口、加氯加药间及办公区位于厂区北侧；深度处理车间、中间水池、生物池及二沉池位于厂区中部。 </w:t>
            </w:r>
          </w:p>
          <w:p>
            <w:pPr>
              <w:adjustRightInd w:val="0"/>
              <w:snapToGrid w:val="0"/>
              <w:ind w:firstLine="480" w:firstLineChars="200"/>
              <w:rPr>
                <w:rFonts w:ascii="Times New Roman" w:hAnsi="Times New Roman" w:eastAsia="宋体" w:cs="Times New Roman"/>
                <w:color w:val="auto"/>
                <w:sz w:val="24"/>
                <w:szCs w:val="24"/>
              </w:rPr>
            </w:pPr>
            <w:bookmarkStart w:id="6" w:name="_Hlk92309709"/>
            <w:r>
              <w:rPr>
                <w:rFonts w:ascii="Times New Roman" w:hAnsi="Times New Roman" w:eastAsia="宋体" w:cs="Times New Roman"/>
                <w:color w:val="auto"/>
                <w:sz w:val="24"/>
                <w:szCs w:val="24"/>
              </w:rPr>
              <w:t>厂区平面布置见附图</w:t>
            </w:r>
            <w:r>
              <w:rPr>
                <w:rFonts w:hint="eastAsia" w:ascii="Times New Roman" w:hAnsi="Times New Roman" w:eastAsia="宋体" w:cs="Times New Roman"/>
                <w:color w:val="auto"/>
                <w:sz w:val="24"/>
                <w:szCs w:val="24"/>
                <w:lang w:val="en-US" w:eastAsia="zh-CN"/>
              </w:rPr>
              <w:t>3，管线走向示意图见附图3.1</w:t>
            </w:r>
            <w:r>
              <w:rPr>
                <w:rFonts w:ascii="Times New Roman" w:hAnsi="Times New Roman" w:eastAsia="宋体" w:cs="Times New Roman"/>
                <w:color w:val="auto"/>
                <w:sz w:val="24"/>
                <w:szCs w:val="24"/>
              </w:rPr>
              <w:t>。</w:t>
            </w:r>
            <w:bookmarkEnd w:id="6"/>
          </w:p>
          <w:p>
            <w:pPr>
              <w:autoSpaceDE w:val="0"/>
              <w:autoSpaceDN w:val="0"/>
              <w:snapToGrid w:val="0"/>
              <w:spacing w:line="360" w:lineRule="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2.9</w:t>
            </w:r>
            <w:r>
              <w:rPr>
                <w:rFonts w:hint="default" w:ascii="Times New Roman" w:hAnsi="Times New Roman" w:eastAsia="宋体" w:cs="Times New Roman"/>
                <w:b/>
                <w:color w:val="auto"/>
                <w:sz w:val="24"/>
                <w:szCs w:val="24"/>
              </w:rPr>
              <w:t>环保投资</w:t>
            </w:r>
          </w:p>
          <w:p>
            <w:pPr>
              <w:adjustRightIn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本项目总投资</w:t>
            </w:r>
            <w:r>
              <w:rPr>
                <w:rFonts w:hint="default" w:ascii="Times New Roman" w:hAnsi="Times New Roman" w:eastAsia="宋体" w:cs="Times New Roman"/>
                <w:color w:val="auto"/>
                <w:sz w:val="24"/>
                <w:szCs w:val="24"/>
                <w:lang w:val="en-US" w:eastAsia="zh-CN"/>
              </w:rPr>
              <w:t>16141.75</w:t>
            </w:r>
            <w:r>
              <w:rPr>
                <w:rFonts w:hint="default" w:ascii="Times New Roman" w:hAnsi="Times New Roman" w:eastAsia="宋体" w:cs="Times New Roman"/>
                <w:color w:val="auto"/>
                <w:sz w:val="24"/>
                <w:szCs w:val="24"/>
              </w:rPr>
              <w:t>万元，环保投资约</w:t>
            </w:r>
            <w:r>
              <w:rPr>
                <w:rFonts w:hint="eastAsia" w:ascii="Times New Roman" w:hAnsi="Times New Roman" w:eastAsia="宋体" w:cs="Times New Roman"/>
                <w:color w:val="auto"/>
                <w:sz w:val="24"/>
                <w:szCs w:val="24"/>
                <w:lang w:val="en-US" w:eastAsia="zh-CN"/>
              </w:rPr>
              <w:t>165.6</w:t>
            </w:r>
            <w:r>
              <w:rPr>
                <w:rFonts w:hint="default" w:ascii="Times New Roman" w:hAnsi="Times New Roman" w:eastAsia="宋体" w:cs="Times New Roman"/>
                <w:color w:val="auto"/>
                <w:sz w:val="24"/>
                <w:szCs w:val="24"/>
              </w:rPr>
              <w:t>万元，环保投资占总投资的</w:t>
            </w:r>
            <w:r>
              <w:rPr>
                <w:rFonts w:hint="eastAsia" w:ascii="Times New Roman" w:hAnsi="Times New Roman" w:eastAsia="宋体" w:cs="Times New Roman"/>
                <w:color w:val="auto"/>
                <w:sz w:val="24"/>
                <w:szCs w:val="24"/>
                <w:lang w:val="en-US" w:eastAsia="zh-CN"/>
              </w:rPr>
              <w:t>1.03</w:t>
            </w:r>
            <w:r>
              <w:rPr>
                <w:rFonts w:hint="default" w:ascii="Times New Roman" w:hAnsi="Times New Roman" w:eastAsia="宋体" w:cs="Times New Roman"/>
                <w:color w:val="auto"/>
                <w:sz w:val="24"/>
                <w:szCs w:val="24"/>
              </w:rPr>
              <w:t>%。本项目环保措施及环保投资一览表见表</w:t>
            </w:r>
            <w:r>
              <w:rPr>
                <w:rFonts w:hint="eastAsia"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w:t>
            </w:r>
          </w:p>
          <w:p>
            <w:pPr>
              <w:pStyle w:val="22"/>
              <w:keepNext w:val="0"/>
              <w:keepLines w:val="0"/>
              <w:pageBreakBefore w:val="0"/>
              <w:widowControl w:val="0"/>
              <w:kinsoku/>
              <w:wordWrap/>
              <w:overflowPunct/>
              <w:topLinePunct w:val="0"/>
              <w:autoSpaceDE w:val="0"/>
              <w:autoSpaceDN w:val="0"/>
              <w:bidi w:val="0"/>
              <w:adjustRightInd w:val="0"/>
              <w:snapToGrid w:val="0"/>
              <w:spacing w:before="81" w:beforeLines="25" w:after="60" w:afterLines="25"/>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2-9</w:t>
            </w:r>
            <w:r>
              <w:rPr>
                <w:rFonts w:hint="default" w:ascii="Times New Roman" w:hAnsi="Times New Roman" w:eastAsia="宋体" w:cs="Times New Roman"/>
                <w:b/>
                <w:bCs/>
                <w:color w:val="auto"/>
              </w:rPr>
              <w:t xml:space="preserve">  环保工程投资估算</w:t>
            </w:r>
          </w:p>
          <w:tbl>
            <w:tblPr>
              <w:tblStyle w:val="24"/>
              <w:tblW w:w="80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220"/>
              <w:gridCol w:w="4898"/>
              <w:gridCol w:w="15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dxa"/>
                  <w:gridSpan w:val="2"/>
                  <w:vAlign w:val="center"/>
                </w:tcPr>
                <w:p>
                  <w:pPr>
                    <w:spacing w:line="320" w:lineRule="atLeas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类别</w:t>
                  </w:r>
                </w:p>
              </w:tc>
              <w:tc>
                <w:tcPr>
                  <w:tcW w:w="4898" w:type="dxa"/>
                  <w:vAlign w:val="center"/>
                </w:tcPr>
                <w:p>
                  <w:pPr>
                    <w:spacing w:line="320" w:lineRule="atLeas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环保措施</w:t>
                  </w:r>
                </w:p>
              </w:tc>
              <w:tc>
                <w:tcPr>
                  <w:tcW w:w="1533" w:type="dxa"/>
                  <w:vAlign w:val="center"/>
                </w:tcPr>
                <w:p>
                  <w:pPr>
                    <w:spacing w:line="320" w:lineRule="atLeas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dxa"/>
                  <w:gridSpan w:val="2"/>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废气治理</w:t>
                  </w:r>
                </w:p>
              </w:tc>
              <w:tc>
                <w:tcPr>
                  <w:tcW w:w="4898" w:type="dxa"/>
                  <w:vAlign w:val="center"/>
                </w:tcPr>
                <w:p>
                  <w:pPr>
                    <w:adjustRightInd w:val="0"/>
                    <w:spacing w:line="30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b w:val="0"/>
                      <w:color w:val="auto"/>
                      <w:sz w:val="21"/>
                      <w:szCs w:val="21"/>
                    </w:rPr>
                    <w:t>恶臭防治：产生恶臭气体的建构筑物采用封闭措施，污泥间采用排风机进行换气</w:t>
                  </w:r>
                  <w:r>
                    <w:rPr>
                      <w:rFonts w:hint="default" w:ascii="Times New Roman" w:hAnsi="Times New Roman" w:eastAsia="宋体" w:cs="Times New Roman"/>
                      <w:b w:val="0"/>
                      <w:color w:val="auto"/>
                      <w:sz w:val="21"/>
                      <w:szCs w:val="21"/>
                      <w:lang w:val="en-US" w:eastAsia="zh-CN"/>
                    </w:rPr>
                    <w:t>，废气由管道收集后</w:t>
                  </w:r>
                  <w:r>
                    <w:rPr>
                      <w:rFonts w:hint="default" w:ascii="Times New Roman" w:hAnsi="Times New Roman" w:eastAsia="宋体" w:cs="Times New Roman"/>
                      <w:b w:val="0"/>
                      <w:color w:val="auto"/>
                      <w:sz w:val="21"/>
                      <w:szCs w:val="21"/>
                    </w:rPr>
                    <w:t>采用</w:t>
                  </w:r>
                  <w:r>
                    <w:rPr>
                      <w:rFonts w:hint="default" w:ascii="Times New Roman" w:hAnsi="Times New Roman" w:eastAsia="宋体" w:cs="Times New Roman"/>
                      <w:b w:val="0"/>
                      <w:color w:val="auto"/>
                      <w:sz w:val="21"/>
                      <w:szCs w:val="21"/>
                      <w:lang w:eastAsia="zh-CN"/>
                    </w:rPr>
                    <w:t>光氧活性炭一体机（</w:t>
                  </w:r>
                  <w:r>
                    <w:rPr>
                      <w:rFonts w:hint="default" w:ascii="Times New Roman" w:hAnsi="Times New Roman" w:eastAsia="宋体" w:cs="Times New Roman"/>
                      <w:b w:val="0"/>
                      <w:color w:val="auto"/>
                      <w:sz w:val="21"/>
                      <w:szCs w:val="21"/>
                      <w:lang w:val="en-US" w:eastAsia="zh-CN"/>
                    </w:rPr>
                    <w:t>UV光解+活性炭</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lang w:val="en-US" w:eastAsia="zh-CN"/>
                    </w:rPr>
                    <w:t>吸附</w:t>
                  </w:r>
                  <w:r>
                    <w:rPr>
                      <w:rFonts w:hint="default" w:ascii="Times New Roman" w:hAnsi="Times New Roman" w:eastAsia="宋体" w:cs="Times New Roman"/>
                      <w:b w:val="0"/>
                      <w:color w:val="auto"/>
                      <w:sz w:val="21"/>
                      <w:szCs w:val="21"/>
                      <w:lang w:eastAsia="zh-CN"/>
                    </w:rPr>
                    <w:t>后经</w:t>
                  </w:r>
                  <w:r>
                    <w:rPr>
                      <w:rFonts w:hint="default" w:ascii="Times New Roman" w:hAnsi="Times New Roman" w:eastAsia="宋体" w:cs="Times New Roman"/>
                      <w:b w:val="0"/>
                      <w:color w:val="auto"/>
                      <w:sz w:val="21"/>
                      <w:szCs w:val="21"/>
                      <w:lang w:val="en-US" w:eastAsia="zh-CN"/>
                    </w:rPr>
                    <w:t>15m排气筒排放</w:t>
                  </w:r>
                  <w:r>
                    <w:rPr>
                      <w:rFonts w:hint="default" w:ascii="Times New Roman" w:hAnsi="Times New Roman" w:eastAsia="宋体" w:cs="Times New Roman"/>
                      <w:b w:val="0"/>
                      <w:color w:val="auto"/>
                      <w:sz w:val="21"/>
                      <w:szCs w:val="21"/>
                    </w:rPr>
                    <w:t>；加强日常运行管理、加强绿化</w:t>
                  </w:r>
                </w:p>
              </w:tc>
              <w:tc>
                <w:tcPr>
                  <w:tcW w:w="1533" w:type="dxa"/>
                  <w:vAlign w:val="center"/>
                </w:tcPr>
                <w:p>
                  <w:pPr>
                    <w:spacing w:line="32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9" w:type="dxa"/>
                  <w:gridSpan w:val="2"/>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废水治理</w:t>
                  </w:r>
                </w:p>
              </w:tc>
              <w:tc>
                <w:tcPr>
                  <w:tcW w:w="4898" w:type="dxa"/>
                  <w:vAlign w:val="center"/>
                </w:tcPr>
                <w:p>
                  <w:pPr>
                    <w:adjustRightInd w:val="0"/>
                    <w:spacing w:line="300" w:lineRule="atLeast"/>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 w:val="21"/>
                      <w:szCs w:val="21"/>
                    </w:rPr>
                    <w:t>生活污水与来水一并进入污水处理系统处理</w:t>
                  </w:r>
                </w:p>
              </w:tc>
              <w:tc>
                <w:tcPr>
                  <w:tcW w:w="1533" w:type="dxa"/>
                  <w:vAlign w:val="center"/>
                </w:tcPr>
                <w:p>
                  <w:pPr>
                    <w:spacing w:line="320" w:lineRule="atLeas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dxa"/>
                  <w:gridSpan w:val="2"/>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噪声治理</w:t>
                  </w:r>
                </w:p>
              </w:tc>
              <w:tc>
                <w:tcPr>
                  <w:tcW w:w="4898" w:type="dxa"/>
                  <w:vAlign w:val="center"/>
                </w:tcPr>
                <w:p>
                  <w:pPr>
                    <w:adjustRightInd w:val="0"/>
                    <w:spacing w:line="300" w:lineRule="atLeast"/>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 w:val="21"/>
                      <w:szCs w:val="21"/>
                      <w:lang w:bidi="zh-CN"/>
                    </w:rPr>
                    <w:t>选用低噪设备、基础减振、厂房隔声和距离衰减</w:t>
                  </w:r>
                </w:p>
              </w:tc>
              <w:tc>
                <w:tcPr>
                  <w:tcW w:w="1533" w:type="dxa"/>
                  <w:vAlign w:val="center"/>
                </w:tcPr>
                <w:p>
                  <w:pPr>
                    <w:spacing w:line="320" w:lineRule="atLeas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Merge w:val="restart"/>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rPr>
                    <w:t>固废</w:t>
                  </w:r>
                </w:p>
              </w:tc>
              <w:tc>
                <w:tcPr>
                  <w:tcW w:w="1220" w:type="dxa"/>
                  <w:vAlign w:val="center"/>
                </w:tcPr>
                <w:p>
                  <w:pPr>
                    <w:adjustRightInd w:val="0"/>
                    <w:spacing w:line="30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栅渣及沉砂</w:t>
                  </w:r>
                </w:p>
              </w:tc>
              <w:tc>
                <w:tcPr>
                  <w:tcW w:w="4898" w:type="dxa"/>
                  <w:vAlign w:val="center"/>
                </w:tcPr>
                <w:p>
                  <w:pPr>
                    <w:adjustRightInd w:val="0"/>
                    <w:spacing w:line="30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收集后委托环卫部门定期清运</w:t>
                  </w:r>
                </w:p>
              </w:tc>
              <w:tc>
                <w:tcPr>
                  <w:tcW w:w="1533" w:type="dxa"/>
                  <w:vAlign w:val="center"/>
                </w:tcPr>
                <w:p>
                  <w:pPr>
                    <w:spacing w:line="320" w:lineRule="atLeas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Cs w:val="21"/>
                    </w:rPr>
                  </w:pPr>
                </w:p>
              </w:tc>
              <w:tc>
                <w:tcPr>
                  <w:tcW w:w="1220" w:type="dxa"/>
                  <w:vAlign w:val="center"/>
                </w:tcPr>
                <w:p>
                  <w:pPr>
                    <w:adjustRightInd w:val="0"/>
                    <w:spacing w:line="30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w:t>
                  </w:r>
                </w:p>
              </w:tc>
              <w:tc>
                <w:tcPr>
                  <w:tcW w:w="4898" w:type="dxa"/>
                  <w:vAlign w:val="center"/>
                </w:tcPr>
                <w:p>
                  <w:pPr>
                    <w:adjustRightInd w:val="0"/>
                    <w:spacing w:line="30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收集后委托有资质的单位处置</w:t>
                  </w:r>
                </w:p>
              </w:tc>
              <w:tc>
                <w:tcPr>
                  <w:tcW w:w="1533" w:type="dxa"/>
                  <w:vAlign w:val="center"/>
                </w:tcPr>
                <w:p>
                  <w:pPr>
                    <w:spacing w:line="320" w:lineRule="atLeas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Cs w:val="21"/>
                    </w:rPr>
                  </w:pPr>
                </w:p>
              </w:tc>
              <w:tc>
                <w:tcPr>
                  <w:tcW w:w="1220" w:type="dxa"/>
                  <w:vAlign w:val="center"/>
                </w:tcPr>
                <w:p>
                  <w:pPr>
                    <w:adjustRightInd w:val="0"/>
                    <w:spacing w:line="30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4898" w:type="dxa"/>
                  <w:vAlign w:val="center"/>
                </w:tcPr>
                <w:p>
                  <w:pPr>
                    <w:adjustRightInd w:val="0"/>
                    <w:spacing w:line="30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收集后由环卫部门定期清运</w:t>
                  </w:r>
                </w:p>
              </w:tc>
              <w:tc>
                <w:tcPr>
                  <w:tcW w:w="1533" w:type="dxa"/>
                  <w:vAlign w:val="center"/>
                </w:tcPr>
                <w:p>
                  <w:pPr>
                    <w:spacing w:line="320" w:lineRule="atLeas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Cs w:val="21"/>
                    </w:rPr>
                  </w:pPr>
                </w:p>
              </w:tc>
              <w:tc>
                <w:tcPr>
                  <w:tcW w:w="1220" w:type="dxa"/>
                  <w:vAlign w:val="center"/>
                </w:tcPr>
                <w:p>
                  <w:pPr>
                    <w:adjustRightInd w:val="0"/>
                    <w:spacing w:line="30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废包装材料</w:t>
                  </w:r>
                </w:p>
              </w:tc>
              <w:tc>
                <w:tcPr>
                  <w:tcW w:w="4898" w:type="dxa"/>
                  <w:vAlign w:val="center"/>
                </w:tcPr>
                <w:p>
                  <w:pPr>
                    <w:adjustRightInd w:val="0"/>
                    <w:spacing w:line="30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收集后委托物资单位综合利用</w:t>
                  </w:r>
                </w:p>
              </w:tc>
              <w:tc>
                <w:tcPr>
                  <w:tcW w:w="1533" w:type="dxa"/>
                  <w:vAlign w:val="center"/>
                </w:tcPr>
                <w:p>
                  <w:pPr>
                    <w:spacing w:line="320" w:lineRule="atLeas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Cs w:val="21"/>
                    </w:rPr>
                  </w:pPr>
                </w:p>
              </w:tc>
              <w:tc>
                <w:tcPr>
                  <w:tcW w:w="1220" w:type="dxa"/>
                  <w:vAlign w:val="center"/>
                </w:tcPr>
                <w:p>
                  <w:pPr>
                    <w:adjustRightIn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w:t>
                  </w:r>
                </w:p>
              </w:tc>
              <w:tc>
                <w:tcPr>
                  <w:tcW w:w="4898" w:type="dxa"/>
                  <w:vMerge w:val="restart"/>
                  <w:vAlign w:val="center"/>
                </w:tcPr>
                <w:p>
                  <w:pPr>
                    <w:adjustRightInd w:val="0"/>
                    <w:spacing w:line="30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厂区危险废物暂存间暂存，</w:t>
                  </w:r>
                  <w:r>
                    <w:rPr>
                      <w:rFonts w:hint="default" w:ascii="Times New Roman" w:hAnsi="Times New Roman" w:eastAsia="宋体" w:cs="Times New Roman"/>
                      <w:color w:val="auto"/>
                      <w:sz w:val="21"/>
                      <w:szCs w:val="21"/>
                      <w:lang w:val="en-US" w:eastAsia="zh-CN"/>
                    </w:rPr>
                    <w:t>定期</w:t>
                  </w:r>
                  <w:r>
                    <w:rPr>
                      <w:rFonts w:hint="default" w:ascii="Times New Roman" w:hAnsi="Times New Roman" w:eastAsia="宋体" w:cs="Times New Roman"/>
                      <w:color w:val="auto"/>
                      <w:sz w:val="21"/>
                      <w:szCs w:val="21"/>
                      <w:lang w:eastAsia="zh-CN"/>
                    </w:rPr>
                    <w:t>委托有资质的单位处置</w:t>
                  </w:r>
                </w:p>
              </w:tc>
              <w:tc>
                <w:tcPr>
                  <w:tcW w:w="1533" w:type="dxa"/>
                  <w:vMerge w:val="restart"/>
                  <w:vAlign w:val="center"/>
                </w:tcPr>
                <w:p>
                  <w:pPr>
                    <w:spacing w:line="320" w:lineRule="atLeas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Cs w:val="21"/>
                    </w:rPr>
                  </w:pPr>
                </w:p>
              </w:tc>
              <w:tc>
                <w:tcPr>
                  <w:tcW w:w="1220" w:type="dxa"/>
                  <w:vAlign w:val="center"/>
                </w:tcPr>
                <w:p>
                  <w:pPr>
                    <w:adjustRightInd w:val="0"/>
                    <w:spacing w:line="30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废活性炭</w:t>
                  </w:r>
                </w:p>
              </w:tc>
              <w:tc>
                <w:tcPr>
                  <w:tcW w:w="4898" w:type="dxa"/>
                  <w:vMerge w:val="continue"/>
                  <w:vAlign w:val="center"/>
                </w:tcPr>
                <w:p>
                  <w:pPr>
                    <w:adjustRightInd w:val="0"/>
                    <w:spacing w:line="300" w:lineRule="atLeast"/>
                    <w:jc w:val="center"/>
                    <w:rPr>
                      <w:rFonts w:hint="default" w:ascii="Times New Roman" w:hAnsi="Times New Roman" w:eastAsia="宋体" w:cs="Times New Roman"/>
                      <w:color w:val="auto"/>
                      <w:sz w:val="21"/>
                      <w:szCs w:val="21"/>
                    </w:rPr>
                  </w:pPr>
                </w:p>
              </w:tc>
              <w:tc>
                <w:tcPr>
                  <w:tcW w:w="1533" w:type="dxa"/>
                  <w:vMerge w:val="continue"/>
                  <w:vAlign w:val="center"/>
                </w:tcPr>
                <w:p>
                  <w:pPr>
                    <w:spacing w:line="320" w:lineRule="atLeast"/>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Cs w:val="21"/>
                    </w:rPr>
                  </w:pPr>
                </w:p>
              </w:tc>
              <w:tc>
                <w:tcPr>
                  <w:tcW w:w="1220" w:type="dxa"/>
                  <w:vAlign w:val="center"/>
                </w:tcPr>
                <w:p>
                  <w:pPr>
                    <w:adjustRightIn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废紫外线灯管</w:t>
                  </w:r>
                </w:p>
              </w:tc>
              <w:tc>
                <w:tcPr>
                  <w:tcW w:w="4898" w:type="dxa"/>
                  <w:vMerge w:val="continue"/>
                  <w:vAlign w:val="center"/>
                </w:tcPr>
                <w:p>
                  <w:pPr>
                    <w:adjustRightInd w:val="0"/>
                    <w:spacing w:line="300" w:lineRule="atLeast"/>
                    <w:jc w:val="center"/>
                    <w:rPr>
                      <w:rFonts w:hint="default" w:ascii="Times New Roman" w:hAnsi="Times New Roman" w:eastAsia="宋体" w:cs="Times New Roman"/>
                      <w:color w:val="auto"/>
                      <w:sz w:val="21"/>
                      <w:szCs w:val="21"/>
                    </w:rPr>
                  </w:pPr>
                </w:p>
              </w:tc>
              <w:tc>
                <w:tcPr>
                  <w:tcW w:w="1533" w:type="dxa"/>
                  <w:vMerge w:val="continue"/>
                  <w:vAlign w:val="center"/>
                </w:tcPr>
                <w:p>
                  <w:pPr>
                    <w:spacing w:line="320" w:lineRule="atLeast"/>
                    <w:jc w:val="center"/>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Cs w:val="21"/>
                    </w:rPr>
                  </w:pPr>
                </w:p>
              </w:tc>
              <w:tc>
                <w:tcPr>
                  <w:tcW w:w="1220" w:type="dxa"/>
                  <w:vAlign w:val="center"/>
                </w:tcPr>
                <w:p>
                  <w:pPr>
                    <w:adjustRightInd w:val="0"/>
                    <w:spacing w:line="3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化验药剂废包装</w:t>
                  </w:r>
                </w:p>
              </w:tc>
              <w:tc>
                <w:tcPr>
                  <w:tcW w:w="4898" w:type="dxa"/>
                  <w:vMerge w:val="continue"/>
                  <w:vAlign w:val="center"/>
                </w:tcPr>
                <w:p>
                  <w:pPr>
                    <w:adjustRightInd w:val="0"/>
                    <w:spacing w:line="300" w:lineRule="atLeast"/>
                    <w:jc w:val="center"/>
                    <w:rPr>
                      <w:rFonts w:hint="default" w:ascii="Times New Roman" w:hAnsi="Times New Roman" w:eastAsia="宋体" w:cs="Times New Roman"/>
                      <w:color w:val="auto"/>
                      <w:sz w:val="21"/>
                      <w:szCs w:val="21"/>
                    </w:rPr>
                  </w:pPr>
                </w:p>
              </w:tc>
              <w:tc>
                <w:tcPr>
                  <w:tcW w:w="1533" w:type="dxa"/>
                  <w:vMerge w:val="continue"/>
                  <w:vAlign w:val="center"/>
                </w:tcPr>
                <w:p>
                  <w:pPr>
                    <w:spacing w:line="320" w:lineRule="atLeast"/>
                    <w:jc w:val="center"/>
                    <w:rPr>
                      <w:rFonts w:hint="default"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Merge w:val="restart"/>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防渗</w:t>
                  </w:r>
                </w:p>
              </w:tc>
              <w:tc>
                <w:tcPr>
                  <w:tcW w:w="1220" w:type="dxa"/>
                  <w:vAlign w:val="center"/>
                </w:tcPr>
                <w:p>
                  <w:pPr>
                    <w:pStyle w:val="41"/>
                    <w:spacing w:before="1"/>
                    <w:ind w:left="120" w:leftChars="0" w:right="115"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重点防渗区</w:t>
                  </w:r>
                </w:p>
              </w:tc>
              <w:tc>
                <w:tcPr>
                  <w:tcW w:w="4898" w:type="dxa"/>
                  <w:vAlign w:val="center"/>
                </w:tcPr>
                <w:p>
                  <w:pPr>
                    <w:adjustRightIn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等效粘土防渗层 Mb≥6.0m，</w:t>
                  </w:r>
                </w:p>
                <w:p>
                  <w:pPr>
                    <w:adjustRightIn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K≤10</w:t>
                  </w:r>
                  <w:r>
                    <w:rPr>
                      <w:rFonts w:hint="default" w:ascii="Times New Roman" w:hAnsi="Times New Roman" w:eastAsia="宋体" w:cs="Times New Roman"/>
                      <w:color w:val="auto"/>
                      <w:kern w:val="2"/>
                      <w:sz w:val="21"/>
                      <w:szCs w:val="21"/>
                      <w:vertAlign w:val="superscript"/>
                      <w:lang w:val="en-US" w:eastAsia="zh-CN" w:bidi="ar-SA"/>
                    </w:rPr>
                    <w:t>-7</w:t>
                  </w:r>
                  <w:r>
                    <w:rPr>
                      <w:rFonts w:hint="default" w:ascii="Times New Roman" w:hAnsi="Times New Roman" w:eastAsia="宋体" w:cs="Times New Roman"/>
                      <w:color w:val="auto"/>
                      <w:kern w:val="2"/>
                      <w:sz w:val="21"/>
                      <w:szCs w:val="21"/>
                      <w:lang w:val="en-US" w:eastAsia="zh-CN" w:bidi="ar-SA"/>
                    </w:rPr>
                    <w:t>cm/s，或参照 GB18598 执行</w:t>
                  </w:r>
                </w:p>
              </w:tc>
              <w:tc>
                <w:tcPr>
                  <w:tcW w:w="1533" w:type="dxa"/>
                  <w:vAlign w:val="center"/>
                </w:tcPr>
                <w:p>
                  <w:pPr>
                    <w:spacing w:line="320" w:lineRule="atLeas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Cs w:val="21"/>
                      <w:lang w:val="en-US" w:eastAsia="zh-CN"/>
                    </w:rPr>
                  </w:pPr>
                </w:p>
              </w:tc>
              <w:tc>
                <w:tcPr>
                  <w:tcW w:w="1220" w:type="dxa"/>
                  <w:vAlign w:val="center"/>
                </w:tcPr>
                <w:p>
                  <w:pPr>
                    <w:pStyle w:val="41"/>
                    <w:spacing w:before="1"/>
                    <w:ind w:left="120" w:leftChars="0" w:right="115"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一般防渗区</w:t>
                  </w:r>
                </w:p>
              </w:tc>
              <w:tc>
                <w:tcPr>
                  <w:tcW w:w="4898" w:type="dxa"/>
                  <w:vAlign w:val="center"/>
                </w:tcPr>
                <w:p>
                  <w:pPr>
                    <w:adjustRightInd w:val="0"/>
                    <w:spacing w:line="30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水池采用刚性防渗结构，水泥基渗透结晶型抗渗混凝土（厚度不小于150mm）＋水泥基渗透结晶型抗防渗涂层（厚度不小于0.8mm）结构形式，渗透系数不应大于1.0×10-10cm/s</w:t>
                  </w:r>
                </w:p>
              </w:tc>
              <w:tc>
                <w:tcPr>
                  <w:tcW w:w="1533" w:type="dxa"/>
                  <w:vAlign w:val="center"/>
                </w:tcPr>
                <w:p>
                  <w:pPr>
                    <w:spacing w:line="320" w:lineRule="atLeas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dxa"/>
                  <w:vMerge w:val="continue"/>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jc w:val="center"/>
                    <w:rPr>
                      <w:rFonts w:hint="default" w:ascii="Times New Roman" w:hAnsi="Times New Roman" w:eastAsia="宋体" w:cs="Times New Roman"/>
                      <w:color w:val="auto"/>
                      <w:szCs w:val="21"/>
                      <w:lang w:val="en-US" w:eastAsia="zh-CN"/>
                    </w:rPr>
                  </w:pPr>
                </w:p>
              </w:tc>
              <w:tc>
                <w:tcPr>
                  <w:tcW w:w="1220" w:type="dxa"/>
                  <w:vAlign w:val="center"/>
                </w:tcPr>
                <w:p>
                  <w:pPr>
                    <w:pStyle w:val="41"/>
                    <w:spacing w:before="1"/>
                    <w:ind w:left="120" w:leftChars="0" w:right="115" w:rightChars="0"/>
                    <w:jc w:val="center"/>
                    <w:rPr>
                      <w:rFonts w:hint="default" w:ascii="Times New Roman" w:hAnsi="Times New Roman" w:eastAsia="宋体" w:cs="Times New Roman"/>
                      <w:iCs/>
                      <w:color w:val="auto"/>
                      <w:sz w:val="21"/>
                      <w:szCs w:val="21"/>
                      <w:lang w:val="en-US" w:eastAsia="zh-CN"/>
                    </w:rPr>
                  </w:pPr>
                  <w:r>
                    <w:rPr>
                      <w:rFonts w:hint="default" w:ascii="Times New Roman" w:hAnsi="Times New Roman" w:eastAsia="宋体" w:cs="Times New Roman"/>
                      <w:color w:val="auto"/>
                      <w:sz w:val="21"/>
                      <w:szCs w:val="21"/>
                      <w:lang w:eastAsia="en-US"/>
                    </w:rPr>
                    <w:t>简单防渗区</w:t>
                  </w:r>
                </w:p>
              </w:tc>
              <w:tc>
                <w:tcPr>
                  <w:tcW w:w="4898" w:type="dxa"/>
                  <w:vAlign w:val="center"/>
                </w:tcPr>
                <w:p>
                  <w:pPr>
                    <w:adjustRightInd w:val="0"/>
                    <w:spacing w:line="300" w:lineRule="atLeast"/>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lang w:eastAsia="zh-CN"/>
                    </w:rPr>
                    <w:t>一般地面硬化</w:t>
                  </w:r>
                </w:p>
              </w:tc>
              <w:tc>
                <w:tcPr>
                  <w:tcW w:w="1533" w:type="dxa"/>
                  <w:vAlign w:val="center"/>
                </w:tcPr>
                <w:p>
                  <w:pPr>
                    <w:spacing w:line="320" w:lineRule="atLeas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dxa"/>
                  <w:gridSpan w:val="2"/>
                  <w:vAlign w:val="center"/>
                </w:tcPr>
                <w:p>
                  <w:pPr>
                    <w:spacing w:line="320" w:lineRule="atLeast"/>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总计</w:t>
                  </w:r>
                </w:p>
              </w:tc>
              <w:tc>
                <w:tcPr>
                  <w:tcW w:w="4898" w:type="dxa"/>
                  <w:vAlign w:val="center"/>
                </w:tcPr>
                <w:p>
                  <w:pPr>
                    <w:spacing w:line="320" w:lineRule="atLeast"/>
                    <w:jc w:val="center"/>
                    <w:rPr>
                      <w:rFonts w:hint="default" w:ascii="Times New Roman" w:hAnsi="Times New Roman" w:eastAsia="宋体" w:cs="Times New Roman"/>
                      <w:color w:val="auto"/>
                    </w:rPr>
                  </w:pPr>
                </w:p>
              </w:tc>
              <w:tc>
                <w:tcPr>
                  <w:tcW w:w="1533" w:type="dxa"/>
                  <w:vAlign w:val="center"/>
                </w:tcPr>
                <w:p>
                  <w:pPr>
                    <w:spacing w:line="320" w:lineRule="atLeas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165.6</w:t>
                  </w:r>
                </w:p>
              </w:tc>
            </w:tr>
          </w:tbl>
          <w:p>
            <w:pPr>
              <w:adjustRightInd w:val="0"/>
              <w:snapToGrid w:val="0"/>
              <w:rPr>
                <w:rFonts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26" w:hRule="atLeast"/>
          <w:jc w:val="center"/>
        </w:trPr>
        <w:tc>
          <w:tcPr>
            <w:tcW w:w="473" w:type="dxa"/>
            <w:tcBorders>
              <w:tl2br w:val="nil"/>
              <w:tr2bl w:val="nil"/>
            </w:tcBorders>
            <w:vAlign w:val="center"/>
          </w:tcPr>
          <w:p>
            <w:pPr>
              <w:pStyle w:val="16"/>
              <w:adjustRightInd w:val="0"/>
              <w:snapToGrid w:val="0"/>
              <w:spacing w:before="0" w:beforeAutospacing="0" w:after="0" w:afterAutospacing="0"/>
              <w:jc w:val="center"/>
              <w:rPr>
                <w:rFonts w:ascii="Times New Roman" w:hAnsi="Times New Roman" w:eastAsia="宋体" w:cs="Times New Roman"/>
                <w:color w:val="auto"/>
                <w:szCs w:val="24"/>
              </w:rPr>
            </w:pPr>
            <w:r>
              <w:rPr>
                <w:rFonts w:ascii="Times New Roman" w:hAnsi="Times New Roman" w:eastAsia="宋体" w:cs="Times New Roman"/>
                <w:b/>
                <w:bCs/>
                <w:color w:val="auto"/>
                <w:szCs w:val="24"/>
              </w:rPr>
              <w:t>工艺流程和产排污环节</w:t>
            </w:r>
          </w:p>
        </w:tc>
        <w:tc>
          <w:tcPr>
            <w:tcW w:w="8306" w:type="dxa"/>
            <w:tcBorders>
              <w:tl2br w:val="nil"/>
              <w:tr2bl w:val="nil"/>
            </w:tcBorders>
          </w:tcPr>
          <w:p>
            <w:pPr>
              <w:adjustRightInd w:val="0"/>
              <w:snapToGrid w:val="0"/>
              <w:spacing w:line="360" w:lineRule="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2.</w:t>
            </w:r>
            <w:r>
              <w:rPr>
                <w:rFonts w:hint="eastAsia" w:ascii="Times New Roman" w:hAnsi="Times New Roman" w:eastAsia="宋体" w:cs="Times New Roman"/>
                <w:b/>
                <w:bCs/>
                <w:color w:val="auto"/>
                <w:sz w:val="24"/>
                <w:szCs w:val="24"/>
                <w:lang w:val="en-US" w:eastAsia="zh-CN"/>
              </w:rPr>
              <w:t>10</w:t>
            </w:r>
            <w:r>
              <w:rPr>
                <w:rFonts w:ascii="Times New Roman" w:hAnsi="Times New Roman" w:eastAsia="宋体" w:cs="Times New Roman"/>
                <w:b/>
                <w:bCs/>
                <w:color w:val="auto"/>
                <w:sz w:val="24"/>
                <w:szCs w:val="24"/>
              </w:rPr>
              <w:t>施工期</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污水处理厂新建进水井、粗格栅间、细格栅间、曝气沉沙池、AAO 生物池、二沉池、深床反硝化滤池、储泥池、污泥脱水间、鼓风机房、变配电室等</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以及配套管网的铺设</w:t>
            </w:r>
            <w:r>
              <w:rPr>
                <w:rFonts w:ascii="Times New Roman" w:hAnsi="Times New Roman" w:eastAsia="宋体" w:cs="Times New Roman"/>
                <w:color w:val="auto"/>
                <w:sz w:val="24"/>
                <w:szCs w:val="24"/>
              </w:rPr>
              <w:t>。</w:t>
            </w:r>
          </w:p>
          <w:p>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施工期将进行场地清理、土石方开挖、结构施工、管道施工、设备安装、内外装修以及场地绿化等工作。将产生扬尘、污水、噪声及固体废物等污染物。污水处理厂施工期工艺流程及产污环节如图2-1所示。</w:t>
            </w:r>
          </w:p>
          <w:p>
            <w:pPr>
              <w:adjustRightInd w:val="0"/>
              <w:snapToGrid w:val="0"/>
              <w:spacing w:line="360" w:lineRule="auto"/>
              <w:jc w:val="center"/>
              <w:rPr>
                <w:rFonts w:ascii="Times New Roman" w:hAnsi="Times New Roman" w:cs="Times New Roman"/>
                <w:color w:val="auto"/>
              </w:rPr>
            </w:pPr>
            <w:r>
              <w:rPr>
                <w:rFonts w:ascii="Times New Roman" w:hAnsi="Times New Roman" w:cs="Times New Roman"/>
                <w:color w:val="auto"/>
              </w:rPr>
              <w:object>
                <v:shape id="_x0000_i1025" o:spt="75" type="#_x0000_t75" style="height:106.6pt;width:338.5pt;" o:ole="t" filled="f" o:preferrelative="t" stroked="f" coordsize="21600,21600">
                  <v:path/>
                  <v:fill on="f" focussize="0,0"/>
                  <v:stroke on="f" joinstyle="miter"/>
                  <v:imagedata r:id="rId13" o:title=""/>
                  <o:lock v:ext="edit" aspectratio="t"/>
                  <w10:wrap type="none"/>
                  <w10:anchorlock/>
                </v:shape>
                <o:OLEObject Type="Embed" ProgID="Visio.Drawing.15" ShapeID="_x0000_i1025" DrawAspect="Content" ObjectID="_1468075725" r:id="rId12">
                  <o:LockedField>false</o:LockedField>
                </o:OLEObject>
              </w:object>
            </w:r>
          </w:p>
          <w:p>
            <w:pPr>
              <w:pStyle w:val="35"/>
              <w:rPr>
                <w:rFonts w:ascii="Times New Roman" w:hAnsi="Times New Roman" w:eastAsia="宋体"/>
                <w:color w:val="auto"/>
              </w:rPr>
            </w:pPr>
            <w:r>
              <w:rPr>
                <w:rFonts w:ascii="Times New Roman" w:hAnsi="Times New Roman" w:eastAsia="宋体"/>
                <w:color w:val="auto"/>
              </w:rPr>
              <w:t>图2-1  污水处理厂工程施工期工艺流程及产污环节示意图</w:t>
            </w:r>
          </w:p>
          <w:p>
            <w:pPr>
              <w:adjustRightInd w:val="0"/>
              <w:snapToGrid w:val="0"/>
              <w:spacing w:line="360" w:lineRule="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2.</w:t>
            </w:r>
            <w:r>
              <w:rPr>
                <w:rFonts w:hint="eastAsia" w:ascii="Times New Roman" w:hAnsi="Times New Roman" w:eastAsia="宋体" w:cs="Times New Roman"/>
                <w:b/>
                <w:bCs/>
                <w:color w:val="auto"/>
                <w:sz w:val="24"/>
                <w:szCs w:val="24"/>
                <w:lang w:val="en-US" w:eastAsia="zh-CN"/>
              </w:rPr>
              <w:t>11</w:t>
            </w:r>
            <w:r>
              <w:rPr>
                <w:rFonts w:ascii="Times New Roman" w:hAnsi="Times New Roman" w:eastAsia="宋体" w:cs="Times New Roman"/>
                <w:b/>
                <w:bCs/>
                <w:color w:val="auto"/>
                <w:sz w:val="24"/>
                <w:szCs w:val="24"/>
              </w:rPr>
              <w:t>运营期</w:t>
            </w:r>
          </w:p>
          <w:p>
            <w:pPr>
              <w:adjustRightInd w:val="0"/>
              <w:snapToGrid w:val="0"/>
              <w:spacing w:line="360" w:lineRule="auto"/>
              <w:jc w:val="center"/>
              <w:rPr>
                <w:rFonts w:ascii="Times New Roman" w:hAnsi="Times New Roman" w:cs="Times New Roman"/>
                <w:color w:val="auto"/>
              </w:rPr>
            </w:pPr>
            <w:r>
              <w:rPr>
                <w:color w:val="auto"/>
              </w:rPr>
              <w:drawing>
                <wp:inline distT="0" distB="0" distL="114300" distR="114300">
                  <wp:extent cx="3829050" cy="6962775"/>
                  <wp:effectExtent l="0" t="0" r="0" b="952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4"/>
                          <a:stretch>
                            <a:fillRect/>
                          </a:stretch>
                        </pic:blipFill>
                        <pic:spPr>
                          <a:xfrm>
                            <a:off x="0" y="0"/>
                            <a:ext cx="3829050" cy="6962775"/>
                          </a:xfrm>
                          <a:prstGeom prst="rect">
                            <a:avLst/>
                          </a:prstGeom>
                          <a:noFill/>
                          <a:ln>
                            <a:noFill/>
                          </a:ln>
                        </pic:spPr>
                      </pic:pic>
                    </a:graphicData>
                  </a:graphic>
                </wp:inline>
              </w:drawing>
            </w:r>
          </w:p>
          <w:p>
            <w:pPr>
              <w:pStyle w:val="35"/>
              <w:rPr>
                <w:rFonts w:ascii="Times New Roman" w:hAnsi="Times New Roman" w:eastAsia="宋体"/>
                <w:color w:val="auto"/>
              </w:rPr>
            </w:pPr>
            <w:r>
              <w:rPr>
                <w:rFonts w:ascii="Times New Roman" w:hAnsi="Times New Roman" w:eastAsia="宋体"/>
                <w:color w:val="auto"/>
              </w:rPr>
              <w:t>图2-2  运营期工艺流程与产污环节图</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工艺说明：污水由污水主干管自流进入格栅井内，污水经粗格栅除去大块的机械杂物后进入集水池，经污水泵提升后通过细格栅，细格栅去除水中较细小的杂物及纤维类物质，经两道格栅截留后的污水，进入沉砂池去除比重较大的无机颗粒，如</w:t>
            </w:r>
            <w:r>
              <w:rPr>
                <w:rFonts w:hint="eastAsia" w:ascii="Times New Roman" w:hAnsi="Times New Roman" w:eastAsia="宋体" w:cs="Times New Roman"/>
                <w:color w:val="auto"/>
                <w:sz w:val="24"/>
                <w:szCs w:val="24"/>
                <w:lang w:eastAsia="zh-CN"/>
              </w:rPr>
              <w:t>泥沙</w:t>
            </w:r>
            <w:r>
              <w:rPr>
                <w:rFonts w:ascii="Times New Roman" w:hAnsi="Times New Roman" w:eastAsia="宋体" w:cs="Times New Roman"/>
                <w:color w:val="auto"/>
                <w:sz w:val="24"/>
                <w:szCs w:val="24"/>
              </w:rPr>
              <w:t>等，沉砂后的污水采用AAO处理后进入二沉池，经二沉池沉淀后，进入</w:t>
            </w:r>
            <w:r>
              <w:rPr>
                <w:rFonts w:hint="eastAsia" w:ascii="Times New Roman" w:hAnsi="Times New Roman" w:eastAsia="宋体" w:cs="Times New Roman"/>
                <w:color w:val="auto"/>
                <w:sz w:val="24"/>
                <w:szCs w:val="24"/>
                <w:lang w:val="en-US" w:eastAsia="zh-CN"/>
              </w:rPr>
              <w:t>高效沉淀池和V型滤池</w:t>
            </w:r>
            <w:r>
              <w:rPr>
                <w:rFonts w:ascii="Times New Roman" w:hAnsi="Times New Roman" w:eastAsia="宋体" w:cs="Times New Roman"/>
                <w:color w:val="auto"/>
                <w:sz w:val="24"/>
                <w:szCs w:val="24"/>
              </w:rPr>
              <w:t>深度处理，然后采用</w:t>
            </w:r>
            <w:r>
              <w:rPr>
                <w:rFonts w:hint="eastAsia" w:ascii="Times New Roman" w:hAnsi="Times New Roman" w:eastAsia="宋体" w:cs="Times New Roman"/>
                <w:color w:val="auto"/>
                <w:sz w:val="24"/>
                <w:szCs w:val="24"/>
                <w:lang w:val="en-US" w:eastAsia="zh-CN"/>
              </w:rPr>
              <w:t>二氧化氯消毒剂</w:t>
            </w:r>
            <w:r>
              <w:rPr>
                <w:rFonts w:ascii="Times New Roman" w:hAnsi="Times New Roman" w:eastAsia="宋体" w:cs="Times New Roman"/>
                <w:color w:val="auto"/>
                <w:sz w:val="24"/>
                <w:szCs w:val="24"/>
              </w:rPr>
              <w:t>进行消毒，达标后排入滹沱河。</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污泥处理：本项目污泥脱水采用</w:t>
            </w:r>
            <w:r>
              <w:rPr>
                <w:rFonts w:hint="eastAsia" w:ascii="Times New Roman" w:hAnsi="Times New Roman" w:eastAsia="宋体" w:cs="Times New Roman"/>
                <w:color w:val="auto"/>
                <w:sz w:val="24"/>
                <w:szCs w:val="24"/>
                <w:lang w:val="en-US" w:eastAsia="zh-CN"/>
              </w:rPr>
              <w:t>污泥</w:t>
            </w:r>
            <w:r>
              <w:rPr>
                <w:rFonts w:ascii="Times New Roman" w:hAnsi="Times New Roman" w:eastAsia="宋体" w:cs="Times New Roman"/>
                <w:color w:val="auto"/>
                <w:sz w:val="24"/>
                <w:szCs w:val="24"/>
              </w:rPr>
              <w:t>浓缩</w:t>
            </w:r>
            <w:r>
              <w:rPr>
                <w:rFonts w:hint="eastAsia" w:ascii="Times New Roman" w:hAnsi="Times New Roman" w:eastAsia="宋体" w:cs="Times New Roman"/>
                <w:color w:val="auto"/>
                <w:sz w:val="24"/>
                <w:szCs w:val="24"/>
                <w:lang w:val="en-US" w:eastAsia="zh-CN"/>
              </w:rPr>
              <w:t>池</w:t>
            </w:r>
            <w:r>
              <w:rPr>
                <w:rFonts w:ascii="Times New Roman" w:hAnsi="Times New Roman" w:eastAsia="宋体" w:cs="Times New Roman"/>
                <w:color w:val="auto"/>
                <w:sz w:val="24"/>
                <w:szCs w:val="24"/>
              </w:rPr>
              <w:t>加高压板框</w:t>
            </w:r>
            <w:r>
              <w:rPr>
                <w:rFonts w:hint="eastAsia" w:ascii="Times New Roman" w:hAnsi="Times New Roman" w:eastAsia="宋体" w:cs="Times New Roman"/>
                <w:color w:val="auto"/>
                <w:sz w:val="24"/>
                <w:szCs w:val="24"/>
                <w:lang w:val="en-US" w:eastAsia="zh-CN"/>
              </w:rPr>
              <w:t>深度</w:t>
            </w:r>
            <w:r>
              <w:rPr>
                <w:rFonts w:ascii="Times New Roman" w:hAnsi="Times New Roman" w:eastAsia="宋体" w:cs="Times New Roman"/>
                <w:color w:val="auto"/>
                <w:sz w:val="24"/>
                <w:szCs w:val="24"/>
              </w:rPr>
              <w:t>脱水的处理工艺，处理后的泥饼含水率为 60%以下，然后运至生活垃圾卫生填埋场。</w:t>
            </w:r>
          </w:p>
          <w:p>
            <w:pPr>
              <w:pStyle w:val="33"/>
              <w:numPr>
                <w:ilvl w:val="0"/>
                <w:numId w:val="1"/>
              </w:numPr>
              <w:adjustRightInd w:val="0"/>
              <w:snapToGrid w:val="0"/>
              <w:spacing w:line="360" w:lineRule="auto"/>
              <w:ind w:firstLineChars="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预处理（粗格栅、细格栅、</w:t>
            </w:r>
            <w:r>
              <w:rPr>
                <w:rFonts w:hint="eastAsia" w:ascii="Times New Roman" w:hAnsi="Times New Roman" w:eastAsia="宋体" w:cs="Times New Roman"/>
                <w:color w:val="auto"/>
                <w:sz w:val="24"/>
                <w:szCs w:val="24"/>
                <w:lang w:val="en-US" w:eastAsia="zh-CN"/>
              </w:rPr>
              <w:t>初沉</w:t>
            </w:r>
            <w:r>
              <w:rPr>
                <w:rFonts w:ascii="Times New Roman" w:hAnsi="Times New Roman" w:eastAsia="宋体" w:cs="Times New Roman"/>
                <w:color w:val="auto"/>
                <w:sz w:val="24"/>
                <w:szCs w:val="24"/>
              </w:rPr>
              <w:t>池）</w:t>
            </w:r>
          </w:p>
          <w:p>
            <w:pPr>
              <w:adjustRightInd w:val="0"/>
              <w:snapToGrid w:val="0"/>
              <w:spacing w:line="360" w:lineRule="auto"/>
              <w:ind w:left="70"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生活污水由污水主干管自流进入格栅井内，粗格栅采用钢丝绳牵引格栅除污机</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污水经粗格栅除去大块的机械杂物后进入集水池。经</w:t>
            </w:r>
            <w:r>
              <w:rPr>
                <w:rFonts w:hint="eastAsia" w:ascii="Times New Roman" w:hAnsi="Times New Roman" w:eastAsia="宋体" w:cs="Times New Roman"/>
                <w:color w:val="auto"/>
                <w:sz w:val="24"/>
                <w:szCs w:val="24"/>
                <w:lang w:val="en-US" w:eastAsia="zh-CN"/>
              </w:rPr>
              <w:t>潜污</w:t>
            </w:r>
            <w:r>
              <w:rPr>
                <w:rFonts w:ascii="Times New Roman" w:hAnsi="Times New Roman" w:eastAsia="宋体" w:cs="Times New Roman"/>
                <w:color w:val="auto"/>
                <w:sz w:val="24"/>
                <w:szCs w:val="24"/>
              </w:rPr>
              <w:t>泵提升后通过细格栅，细格栅选用</w:t>
            </w:r>
            <w:r>
              <w:rPr>
                <w:rFonts w:hint="eastAsia" w:ascii="Times New Roman" w:hAnsi="Times New Roman" w:eastAsia="宋体" w:cs="Times New Roman"/>
                <w:color w:val="auto"/>
                <w:sz w:val="24"/>
                <w:szCs w:val="24"/>
                <w:lang w:val="en-US" w:eastAsia="zh-CN"/>
              </w:rPr>
              <w:t>网板式内进流细格栅</w:t>
            </w:r>
            <w:r>
              <w:rPr>
                <w:rFonts w:ascii="Times New Roman" w:hAnsi="Times New Roman" w:eastAsia="宋体" w:cs="Times New Roman"/>
                <w:color w:val="auto"/>
                <w:sz w:val="24"/>
                <w:szCs w:val="24"/>
              </w:rPr>
              <w:t>，去除水中较细小的杂物及纤维类物质，经两道格栅截留后的污水，进入曝气沉砂池去除污水中的浮渣、油脂等有机物。</w:t>
            </w:r>
          </w:p>
          <w:p>
            <w:pPr>
              <w:pStyle w:val="19"/>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baseline"/>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由于本工程进水</w:t>
            </w:r>
            <w:r>
              <w:rPr>
                <w:rFonts w:ascii="Times New Roman" w:hAnsi="Times New Roman" w:eastAsia="宋体" w:cs="Times New Roman"/>
                <w:color w:val="auto"/>
                <w:kern w:val="2"/>
                <w:sz w:val="24"/>
                <w:szCs w:val="24"/>
                <w:lang w:val="en-US" w:eastAsia="zh-CN" w:bidi="ar-SA"/>
              </w:rPr>
              <w:t>SS</w:t>
            </w:r>
            <w:r>
              <w:rPr>
                <w:rFonts w:hint="eastAsia" w:ascii="Times New Roman" w:hAnsi="Times New Roman" w:eastAsia="宋体" w:cs="Times New Roman"/>
                <w:color w:val="auto"/>
                <w:kern w:val="2"/>
                <w:sz w:val="24"/>
                <w:szCs w:val="24"/>
                <w:lang w:val="en-US" w:eastAsia="zh-CN" w:bidi="ar-SA"/>
              </w:rPr>
              <w:t>含量较高，为降低</w:t>
            </w:r>
            <w:r>
              <w:rPr>
                <w:rFonts w:hint="default" w:ascii="Times New Roman" w:hAnsi="Times New Roman" w:eastAsia="宋体" w:cs="Times New Roman"/>
                <w:color w:val="auto"/>
                <w:kern w:val="2"/>
                <w:sz w:val="24"/>
                <w:szCs w:val="24"/>
                <w:lang w:val="en-US" w:eastAsia="zh-CN" w:bidi="ar-SA"/>
              </w:rPr>
              <w:t>SS</w:t>
            </w:r>
            <w:r>
              <w:rPr>
                <w:rFonts w:hint="eastAsia" w:ascii="Times New Roman" w:hAnsi="Times New Roman" w:eastAsia="宋体" w:cs="Times New Roman"/>
                <w:color w:val="auto"/>
                <w:kern w:val="2"/>
                <w:sz w:val="24"/>
                <w:szCs w:val="24"/>
                <w:lang w:val="en-US" w:eastAsia="zh-CN" w:bidi="ar-SA"/>
              </w:rPr>
              <w:t>、减小后续处理构筑物体量</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设置初沉池。当进水水质较好时可</w:t>
            </w:r>
            <w:r>
              <w:rPr>
                <w:rFonts w:hint="eastAsia" w:cs="Times New Roman"/>
                <w:color w:val="auto"/>
                <w:kern w:val="2"/>
                <w:sz w:val="24"/>
                <w:szCs w:val="24"/>
                <w:lang w:val="en-US" w:eastAsia="zh-CN" w:bidi="ar-SA"/>
              </w:rPr>
              <w:t>越过</w:t>
            </w:r>
            <w:r>
              <w:rPr>
                <w:rFonts w:hint="eastAsia" w:ascii="Times New Roman" w:hAnsi="Times New Roman" w:eastAsia="宋体" w:cs="Times New Roman"/>
                <w:color w:val="auto"/>
                <w:kern w:val="2"/>
                <w:sz w:val="24"/>
                <w:szCs w:val="24"/>
                <w:lang w:val="en-US" w:eastAsia="zh-CN" w:bidi="ar-SA"/>
              </w:rPr>
              <w:t>初沉池直接进入膜格栅。初沉池采用辐流式沉淀池，去除污水中以无机物为主体的相对密度大的固体悬浮物。</w:t>
            </w:r>
          </w:p>
          <w:p>
            <w:pPr>
              <w:pStyle w:val="33"/>
              <w:numPr>
                <w:ilvl w:val="0"/>
                <w:numId w:val="1"/>
              </w:numPr>
              <w:adjustRightInd w:val="0"/>
              <w:snapToGrid w:val="0"/>
              <w:spacing w:line="360" w:lineRule="auto"/>
              <w:ind w:firstLineChars="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生物处理</w:t>
            </w:r>
          </w:p>
          <w:p>
            <w:pPr>
              <w:adjustRightInd w:val="0"/>
              <w:snapToGrid w:val="0"/>
              <w:spacing w:line="360" w:lineRule="auto"/>
              <w:ind w:left="70"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 xml:space="preserve">生化池是污水处理厂的核心处理构筑物，用于去除污水中可生化降解的大部分污染物。整个生物池由厌氧池、缺氧池、好氧池组成。回流污泥在厌氧池中与进水混合，在厌氧状态下聚磷菌释放磷酸盐，同时将可快速生物降解有机物转化为 </w:t>
            </w:r>
            <w:r>
              <w:rPr>
                <w:rFonts w:ascii="Times New Roman" w:hAnsi="Times New Roman" w:eastAsia="宋体" w:cs="Times New Roman"/>
                <w:color w:val="auto"/>
                <w:sz w:val="24"/>
                <w:szCs w:val="24"/>
                <w:lang w:val="en-US" w:eastAsia="zh-CN"/>
              </w:rPr>
              <w:t xml:space="preserve">PHB </w:t>
            </w:r>
            <w:r>
              <w:rPr>
                <w:rFonts w:hint="eastAsia" w:ascii="Times New Roman" w:hAnsi="Times New Roman" w:eastAsia="宋体" w:cs="Times New Roman"/>
                <w:color w:val="auto"/>
                <w:sz w:val="24"/>
                <w:szCs w:val="24"/>
                <w:lang w:val="en-US" w:eastAsia="zh-CN"/>
              </w:rPr>
              <w:t xml:space="preserve">储存在细胞中；进水在缺氧池与回流的硝化液混合进行反硝化脱氮；好氧池中装有曝气头，微生物可以利用氧和有机底物同时完成有机污染物的降解以及有机氮和氨氮的硝化。 </w:t>
            </w:r>
          </w:p>
          <w:p>
            <w:pPr>
              <w:adjustRightInd w:val="0"/>
              <w:snapToGrid w:val="0"/>
              <w:spacing w:line="360" w:lineRule="auto"/>
              <w:ind w:left="70"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生物池内部设有全过程除臭生物培养箱。生物池顶部设有盖板，防止臭气四溢的同时起到一定的保温作用。</w:t>
            </w:r>
          </w:p>
          <w:p>
            <w:pPr>
              <w:adjustRightInd w:val="0"/>
              <w:snapToGrid w:val="0"/>
              <w:spacing w:line="360" w:lineRule="auto"/>
              <w:ind w:left="70" w:firstLine="480" w:firstLineChars="2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rPr>
              <w:t>污水经AAO处理后进入二沉池，</w:t>
            </w:r>
            <w:r>
              <w:rPr>
                <w:rFonts w:hint="eastAsia" w:ascii="Times New Roman" w:hAnsi="Times New Roman" w:eastAsia="宋体" w:cs="Times New Roman"/>
                <w:color w:val="auto"/>
                <w:sz w:val="24"/>
                <w:szCs w:val="24"/>
                <w:lang w:val="en-US" w:eastAsia="zh-CN"/>
              </w:rPr>
              <w:t>二沉池将生物池处理过的混合液进行固液分离后，澄清水进入后续构筑物。沉淀池采用圆形辐流式沉淀池</w:t>
            </w:r>
            <w:r>
              <w:rPr>
                <w:rFonts w:hint="eastAsia" w:ascii="Times New Roman" w:hAnsi="Times New Roman" w:eastAsia="宋体" w:cs="Times New Roman"/>
                <w:color w:val="auto"/>
                <w:sz w:val="24"/>
                <w:szCs w:val="24"/>
                <w:highlight w:val="none"/>
                <w:lang w:val="en-US" w:eastAsia="zh-CN"/>
              </w:rPr>
              <w:t xml:space="preserve">，具有耐冲击能力强、沉降历时短、沉淀区容积利用率高等特点。二沉池采用反吊膜加盖，起到一定的保温作用。 </w:t>
            </w:r>
          </w:p>
          <w:p>
            <w:pPr>
              <w:pStyle w:val="33"/>
              <w:numPr>
                <w:ilvl w:val="0"/>
                <w:numId w:val="1"/>
              </w:numPr>
              <w:adjustRightInd w:val="0"/>
              <w:snapToGrid w:val="0"/>
              <w:spacing w:line="360" w:lineRule="auto"/>
              <w:ind w:firstLineChars="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深度处理</w:t>
            </w:r>
          </w:p>
          <w:p>
            <w:pPr>
              <w:adjustRightInd w:val="0"/>
              <w:snapToGrid w:val="0"/>
              <w:spacing w:line="360" w:lineRule="auto"/>
              <w:ind w:left="70"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经二沉池沉淀后，进入</w:t>
            </w:r>
            <w:r>
              <w:rPr>
                <w:rFonts w:hint="eastAsia" w:ascii="Times New Roman" w:hAnsi="Times New Roman" w:eastAsia="宋体" w:cs="Times New Roman"/>
                <w:color w:val="auto"/>
                <w:sz w:val="24"/>
                <w:szCs w:val="24"/>
                <w:lang w:val="en-US" w:eastAsia="zh-CN"/>
              </w:rPr>
              <w:t>高效沉淀池</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为提高出水保证率，设置混合反应沉淀池，通过投加混凝剂对污水混合反应沉淀后达到进一步净化的目的。为提高出水保证率，设置V型滤池降低出水SS。</w:t>
            </w:r>
          </w:p>
          <w:p>
            <w:pPr>
              <w:pStyle w:val="33"/>
              <w:numPr>
                <w:ilvl w:val="0"/>
                <w:numId w:val="1"/>
              </w:numPr>
              <w:adjustRightInd w:val="0"/>
              <w:snapToGrid w:val="0"/>
              <w:spacing w:line="360" w:lineRule="auto"/>
              <w:ind w:firstLineChars="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消毒</w:t>
            </w:r>
          </w:p>
          <w:p>
            <w:pPr>
              <w:adjustRightInd w:val="0"/>
              <w:snapToGrid w:val="0"/>
              <w:spacing w:line="360" w:lineRule="auto"/>
              <w:ind w:left="70" w:firstLine="408" w:firstLineChars="17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使用二氧化氯消毒剂对尾水消毒。</w:t>
            </w:r>
          </w:p>
          <w:p>
            <w:pPr>
              <w:pStyle w:val="33"/>
              <w:numPr>
                <w:ilvl w:val="0"/>
                <w:numId w:val="1"/>
              </w:numPr>
              <w:adjustRightInd w:val="0"/>
              <w:snapToGrid w:val="0"/>
              <w:spacing w:line="360" w:lineRule="auto"/>
              <w:ind w:firstLineChars="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污泥处理</w:t>
            </w:r>
          </w:p>
          <w:p>
            <w:pPr>
              <w:adjustRightInd w:val="0"/>
              <w:snapToGrid w:val="0"/>
              <w:spacing w:line="360" w:lineRule="auto"/>
              <w:ind w:left="70" w:firstLine="408" w:firstLineChars="17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本项目污泥脱水采用</w:t>
            </w:r>
            <w:r>
              <w:rPr>
                <w:rFonts w:hint="eastAsia" w:ascii="Times New Roman" w:hAnsi="Times New Roman" w:eastAsia="宋体" w:cs="Times New Roman"/>
                <w:color w:val="auto"/>
                <w:sz w:val="24"/>
                <w:szCs w:val="24"/>
                <w:lang w:val="en-US" w:eastAsia="zh-CN"/>
              </w:rPr>
              <w:t>污泥</w:t>
            </w:r>
            <w:r>
              <w:rPr>
                <w:rFonts w:ascii="Times New Roman" w:hAnsi="Times New Roman" w:eastAsia="宋体" w:cs="Times New Roman"/>
                <w:color w:val="auto"/>
                <w:sz w:val="24"/>
                <w:szCs w:val="24"/>
              </w:rPr>
              <w:t>浓缩</w:t>
            </w:r>
            <w:r>
              <w:rPr>
                <w:rFonts w:hint="eastAsia" w:ascii="Times New Roman" w:hAnsi="Times New Roman" w:eastAsia="宋体" w:cs="Times New Roman"/>
                <w:color w:val="auto"/>
                <w:sz w:val="24"/>
                <w:szCs w:val="24"/>
                <w:lang w:val="en-US" w:eastAsia="zh-CN"/>
              </w:rPr>
              <w:t>池</w:t>
            </w:r>
            <w:r>
              <w:rPr>
                <w:rFonts w:ascii="Times New Roman" w:hAnsi="Times New Roman" w:eastAsia="宋体" w:cs="Times New Roman"/>
                <w:color w:val="auto"/>
                <w:sz w:val="24"/>
                <w:szCs w:val="24"/>
              </w:rPr>
              <w:t>加高压板框</w:t>
            </w:r>
            <w:r>
              <w:rPr>
                <w:rFonts w:hint="eastAsia" w:ascii="Times New Roman" w:hAnsi="Times New Roman" w:eastAsia="宋体" w:cs="Times New Roman"/>
                <w:color w:val="auto"/>
                <w:sz w:val="24"/>
                <w:szCs w:val="24"/>
                <w:lang w:val="en-US" w:eastAsia="zh-CN"/>
              </w:rPr>
              <w:t>深度</w:t>
            </w:r>
            <w:r>
              <w:rPr>
                <w:rFonts w:ascii="Times New Roman" w:hAnsi="Times New Roman" w:eastAsia="宋体" w:cs="Times New Roman"/>
                <w:color w:val="auto"/>
                <w:sz w:val="24"/>
                <w:szCs w:val="24"/>
              </w:rPr>
              <w:t>脱水的处理工艺，处理后的泥饼含水率为 60%以下，然后运至生活垃圾卫生填埋场。</w:t>
            </w:r>
          </w:p>
          <w:p>
            <w:pPr>
              <w:pStyle w:val="33"/>
              <w:numPr>
                <w:ilvl w:val="0"/>
                <w:numId w:val="1"/>
              </w:numPr>
              <w:adjustRightInd w:val="0"/>
              <w:snapToGrid w:val="0"/>
              <w:spacing w:line="360" w:lineRule="auto"/>
              <w:ind w:firstLineChars="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保温系统</w:t>
            </w:r>
          </w:p>
          <w:p>
            <w:pPr>
              <w:pStyle w:val="2"/>
              <w:spacing w:line="417" w:lineRule="auto"/>
              <w:ind w:left="70" w:right="78"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本项目所有的生产设施均考虑保温设施，不设置露天构筑物，以保证冬季污水温度。其中细格栅设于建筑物内；污泥池为混凝土池盖；曝气沉沙池、生物池与二沉池池顶保温方案均选用门式钢架密闭系统保温。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73" w:type="dxa"/>
            <w:tcBorders>
              <w:tl2br w:val="nil"/>
              <w:tr2bl w:val="nil"/>
            </w:tcBorders>
            <w:vAlign w:val="center"/>
          </w:tcPr>
          <w:p>
            <w:pPr>
              <w:pStyle w:val="16"/>
              <w:adjustRightInd w:val="0"/>
              <w:snapToGrid w:val="0"/>
              <w:spacing w:before="0" w:beforeAutospacing="0" w:after="0" w:afterAutospacing="0"/>
              <w:jc w:val="center"/>
              <w:rPr>
                <w:rFonts w:ascii="Times New Roman" w:hAnsi="Times New Roman" w:eastAsia="宋体" w:cs="Times New Roman"/>
                <w:color w:val="auto"/>
                <w:szCs w:val="24"/>
              </w:rPr>
            </w:pPr>
            <w:r>
              <w:rPr>
                <w:rFonts w:ascii="Times New Roman" w:hAnsi="Times New Roman" w:eastAsia="宋体" w:cs="Times New Roman"/>
                <w:b/>
                <w:bCs w:val="0"/>
                <w:color w:val="auto"/>
                <w:szCs w:val="24"/>
              </w:rPr>
              <w:t>与项目有关的原有环境污染问题</w:t>
            </w:r>
          </w:p>
        </w:tc>
        <w:tc>
          <w:tcPr>
            <w:tcW w:w="8306" w:type="dxa"/>
            <w:tcBorders>
              <w:tl2br w:val="nil"/>
              <w:tr2bl w:val="nil"/>
            </w:tcBorders>
          </w:tcPr>
          <w:p>
            <w:pPr>
              <w:pStyle w:val="33"/>
              <w:spacing w:line="360" w:lineRule="auto"/>
              <w:ind w:left="0" w:leftChars="0" w:firstLine="0" w:firstLineChars="0"/>
              <w:rPr>
                <w:rFonts w:ascii="Times New Roman" w:hAnsi="Times New Roman" w:eastAsia="宋体" w:cs="Times New Roman"/>
                <w:color w:val="auto"/>
                <w:sz w:val="24"/>
                <w:szCs w:val="24"/>
              </w:rPr>
            </w:pPr>
          </w:p>
          <w:p>
            <w:pPr>
              <w:pStyle w:val="33"/>
              <w:spacing w:line="360" w:lineRule="auto"/>
              <w:ind w:firstLine="48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本项目属新建项目，现场踏勘时，</w:t>
            </w:r>
            <w:r>
              <w:rPr>
                <w:rFonts w:hint="eastAsia" w:ascii="Times New Roman" w:hAnsi="Times New Roman" w:eastAsia="宋体" w:cs="Times New Roman"/>
                <w:color w:val="auto"/>
                <w:sz w:val="24"/>
                <w:szCs w:val="24"/>
                <w:lang w:val="en-US" w:eastAsia="zh-CN"/>
              </w:rPr>
              <w:t>厂区现状为耕地，</w:t>
            </w:r>
            <w:r>
              <w:rPr>
                <w:rFonts w:hint="default" w:ascii="Times New Roman" w:hAnsi="Times New Roman" w:eastAsia="宋体" w:cs="Times New Roman"/>
                <w:color w:val="auto"/>
                <w:sz w:val="24"/>
                <w:szCs w:val="24"/>
              </w:rPr>
              <w:t>尚未开工建设，不存在原有污染问题</w:t>
            </w:r>
            <w:r>
              <w:rPr>
                <w:rFonts w:hint="eastAsia" w:ascii="Times New Roman" w:hAnsi="Times New Roman" w:eastAsia="宋体" w:cs="Times New Roman"/>
                <w:color w:val="auto"/>
                <w:sz w:val="24"/>
                <w:szCs w:val="24"/>
                <w:lang w:eastAsia="zh-CN"/>
              </w:rPr>
              <w:t>。</w:t>
            </w:r>
          </w:p>
          <w:p>
            <w:pPr>
              <w:pStyle w:val="33"/>
              <w:spacing w:line="360" w:lineRule="auto"/>
              <w:ind w:firstLine="480"/>
              <w:rPr>
                <w:rFonts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lang w:val="en-US" w:eastAsia="zh-CN"/>
              </w:rPr>
              <w:t>繁</w:t>
            </w:r>
            <w:r>
              <w:rPr>
                <w:rFonts w:ascii="Times New Roman" w:hAnsi="Times New Roman" w:eastAsia="宋体" w:cs="Times New Roman"/>
                <w:color w:val="auto"/>
                <w:sz w:val="24"/>
                <w:szCs w:val="24"/>
              </w:rPr>
              <w:t>峙县</w:t>
            </w:r>
            <w:r>
              <w:rPr>
                <w:rFonts w:hint="eastAsia" w:ascii="Times New Roman" w:hAnsi="Times New Roman" w:eastAsia="宋体" w:cs="Times New Roman"/>
                <w:color w:val="auto"/>
                <w:sz w:val="24"/>
                <w:szCs w:val="24"/>
                <w:lang w:val="en-US" w:eastAsia="zh-CN"/>
              </w:rPr>
              <w:t>第一</w:t>
            </w:r>
            <w:r>
              <w:rPr>
                <w:rFonts w:ascii="Times New Roman" w:hAnsi="Times New Roman" w:eastAsia="宋体" w:cs="Times New Roman"/>
                <w:color w:val="auto"/>
                <w:sz w:val="24"/>
                <w:szCs w:val="24"/>
              </w:rPr>
              <w:t>污水处理厂于2015年建设，其设计规模为1.5万</w:t>
            </w:r>
            <w:r>
              <w:rPr>
                <w:rFonts w:hint="eastAsia" w:ascii="Times New Roman" w:hAnsi="Times New Roman" w:eastAsia="宋体" w:cs="Times New Roman"/>
                <w:color w:val="auto"/>
                <w:sz w:val="24"/>
                <w:szCs w:val="24"/>
              </w:rPr>
              <w: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现状污水处理厂由于现状污水处理厂已超负荷运行，且处理工艺落后，设备陈旧无法满足正常需求，因此本项目建成后处理污水范围为繁峙县全部城区污水，项目建成后现状污水处理厂将逐步退出。</w:t>
            </w:r>
          </w:p>
        </w:tc>
      </w:tr>
      <w:bookmarkEnd w:id="0"/>
    </w:tbl>
    <w:p>
      <w:pPr>
        <w:rPr>
          <w:rFonts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t>三、区域环境质量现状、环境保护目标及评价标准</w:t>
      </w:r>
    </w:p>
    <w:tbl>
      <w:tblPr>
        <w:tblStyle w:val="24"/>
        <w:tblpPr w:leftFromText="180" w:rightFromText="180" w:vertAnchor="text" w:tblpXSpec="center" w:tblpY="1"/>
        <w:tblOverlap w:val="never"/>
        <w:tblW w:w="87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2"/>
        <w:gridCol w:w="83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6" w:hRule="atLeast"/>
        </w:trPr>
        <w:tc>
          <w:tcPr>
            <w:tcW w:w="472" w:type="dxa"/>
            <w:tcBorders>
              <w:tl2br w:val="nil"/>
              <w:tr2bl w:val="nil"/>
            </w:tcBorders>
            <w:vAlign w:val="center"/>
          </w:tcPr>
          <w:p>
            <w:pPr>
              <w:adjustRightInd w:val="0"/>
              <w:snapToGrid w:val="0"/>
              <w:jc w:val="center"/>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区域</w:t>
            </w:r>
          </w:p>
          <w:p>
            <w:pPr>
              <w:adjustRightInd w:val="0"/>
              <w:snapToGrid w:val="0"/>
              <w:jc w:val="center"/>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环境</w:t>
            </w:r>
          </w:p>
          <w:p>
            <w:pPr>
              <w:adjustRightInd w:val="0"/>
              <w:snapToGrid w:val="0"/>
              <w:jc w:val="center"/>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质量</w:t>
            </w:r>
          </w:p>
          <w:p>
            <w:pPr>
              <w:adjustRightInd w:val="0"/>
              <w:snapToGrid w:val="0"/>
              <w:jc w:val="center"/>
              <w:rPr>
                <w:rFonts w:ascii="Times New Roman" w:hAnsi="Times New Roman" w:cs="Times New Roman"/>
                <w:color w:val="auto"/>
                <w:kern w:val="0"/>
                <w:szCs w:val="21"/>
              </w:rPr>
            </w:pPr>
            <w:r>
              <w:rPr>
                <w:rFonts w:ascii="Times New Roman" w:hAnsi="Times New Roman" w:cs="Times New Roman"/>
                <w:b/>
                <w:bCs/>
                <w:color w:val="auto"/>
                <w:kern w:val="0"/>
                <w:sz w:val="24"/>
                <w:szCs w:val="24"/>
              </w:rPr>
              <w:t>现状</w:t>
            </w:r>
          </w:p>
        </w:tc>
        <w:tc>
          <w:tcPr>
            <w:tcW w:w="8307" w:type="dxa"/>
            <w:tcBorders>
              <w:tl2br w:val="nil"/>
              <w:tr2bl w:val="nil"/>
            </w:tcBorders>
            <w:vAlign w:val="center"/>
          </w:tcPr>
          <w:p>
            <w:pPr>
              <w:pStyle w:val="35"/>
              <w:ind w:firstLine="482" w:firstLineChars="200"/>
              <w:jc w:val="left"/>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b/>
                <w:bCs/>
                <w:color w:val="auto"/>
                <w:sz w:val="24"/>
                <w:szCs w:val="24"/>
                <w:lang w:val="en-US" w:eastAsia="zh-CN"/>
              </w:rPr>
              <w:t>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2" w:hRule="atLeast"/>
        </w:trPr>
        <w:tc>
          <w:tcPr>
            <w:tcW w:w="472" w:type="dxa"/>
            <w:tcBorders>
              <w:tl2br w:val="nil"/>
              <w:tr2bl w:val="nil"/>
            </w:tcBorders>
            <w:vAlign w:val="center"/>
          </w:tcPr>
          <w:p>
            <w:pPr>
              <w:adjustRightInd w:val="0"/>
              <w:snapToGrid w:val="0"/>
              <w:jc w:val="center"/>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环境</w:t>
            </w:r>
          </w:p>
          <w:p>
            <w:pPr>
              <w:adjustRightInd w:val="0"/>
              <w:snapToGrid w:val="0"/>
              <w:jc w:val="center"/>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保护</w:t>
            </w:r>
          </w:p>
          <w:p>
            <w:pPr>
              <w:adjustRightInd w:val="0"/>
              <w:snapToGrid w:val="0"/>
              <w:jc w:val="center"/>
              <w:rPr>
                <w:rFonts w:ascii="Times New Roman" w:hAnsi="Times New Roman" w:cs="Times New Roman"/>
                <w:color w:val="auto"/>
                <w:kern w:val="0"/>
                <w:szCs w:val="21"/>
              </w:rPr>
            </w:pPr>
            <w:r>
              <w:rPr>
                <w:rFonts w:ascii="Times New Roman" w:hAnsi="Times New Roman" w:cs="Times New Roman"/>
                <w:b/>
                <w:bCs/>
                <w:color w:val="auto"/>
                <w:kern w:val="0"/>
                <w:sz w:val="24"/>
                <w:szCs w:val="24"/>
              </w:rPr>
              <w:t>目标</w:t>
            </w:r>
          </w:p>
        </w:tc>
        <w:tc>
          <w:tcPr>
            <w:tcW w:w="8307" w:type="dxa"/>
            <w:tcBorders>
              <w:tl2br w:val="nil"/>
              <w:tr2bl w:val="nil"/>
            </w:tcBorders>
            <w:vAlign w:val="center"/>
          </w:tcPr>
          <w:p>
            <w:pPr>
              <w:adjustRightInd w:val="0"/>
              <w:snapToGrid w:val="0"/>
              <w:spacing w:line="360" w:lineRule="auto"/>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3.</w:t>
            </w:r>
            <w:r>
              <w:rPr>
                <w:rFonts w:hint="eastAsia" w:ascii="Times New Roman" w:hAnsi="Times New Roman" w:eastAsia="宋体" w:cs="Times New Roman"/>
                <w:b/>
                <w:bCs/>
                <w:color w:val="auto"/>
                <w:sz w:val="24"/>
                <w:szCs w:val="24"/>
                <w:lang w:val="en-US" w:eastAsia="zh-CN"/>
              </w:rPr>
              <w:t>7</w:t>
            </w:r>
            <w:r>
              <w:rPr>
                <w:rFonts w:ascii="Times New Roman" w:hAnsi="Times New Roman" w:eastAsia="宋体" w:cs="Times New Roman"/>
                <w:b/>
                <w:bCs/>
                <w:color w:val="auto"/>
                <w:sz w:val="24"/>
                <w:szCs w:val="24"/>
              </w:rPr>
              <w:t>环境保护目标</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根据项目现场调查，确定主要环境敏感点及其所处位置，具体见下表。</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w:t>
            </w:r>
            <w:r>
              <w:rPr>
                <w:rFonts w:ascii="Times New Roman" w:hAnsi="Times New Roman" w:eastAsia="宋体"/>
                <w:color w:val="auto"/>
                <w:spacing w:val="-61"/>
                <w:sz w:val="24"/>
                <w:szCs w:val="24"/>
              </w:rPr>
              <w:t xml:space="preserve"> </w:t>
            </w:r>
            <w:r>
              <w:rPr>
                <w:rFonts w:ascii="Times New Roman" w:hAnsi="Times New Roman" w:eastAsia="宋体"/>
                <w:color w:val="auto"/>
                <w:sz w:val="24"/>
                <w:szCs w:val="24"/>
              </w:rPr>
              <w:t>3-9</w:t>
            </w:r>
            <w:r>
              <w:rPr>
                <w:rFonts w:ascii="Times New Roman" w:hAnsi="Times New Roman" w:eastAsia="宋体"/>
                <w:color w:val="auto"/>
                <w:sz w:val="24"/>
                <w:szCs w:val="24"/>
              </w:rPr>
              <w:tab/>
            </w:r>
            <w:r>
              <w:rPr>
                <w:rFonts w:ascii="Times New Roman" w:hAnsi="Times New Roman" w:eastAsia="宋体"/>
                <w:color w:val="auto"/>
                <w:sz w:val="24"/>
                <w:szCs w:val="24"/>
              </w:rPr>
              <w:t>建设项目主要保护目标一览表</w:t>
            </w:r>
          </w:p>
          <w:tbl>
            <w:tblPr>
              <w:tblStyle w:val="25"/>
              <w:tblW w:w="809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583"/>
              <w:gridCol w:w="1280"/>
              <w:gridCol w:w="1596"/>
              <w:gridCol w:w="427"/>
              <w:gridCol w:w="21"/>
              <w:gridCol w:w="1207"/>
              <w:gridCol w:w="1195"/>
              <w:gridCol w:w="427"/>
              <w:gridCol w:w="117"/>
              <w:gridCol w:w="545"/>
              <w:gridCol w:w="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6"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环境因素</w:t>
                  </w:r>
                </w:p>
              </w:tc>
              <w:tc>
                <w:tcPr>
                  <w:tcW w:w="583"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名称</w:t>
                  </w:r>
                </w:p>
              </w:tc>
              <w:tc>
                <w:tcPr>
                  <w:tcW w:w="2876"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坐标</w:t>
                  </w:r>
                </w:p>
              </w:tc>
              <w:tc>
                <w:tcPr>
                  <w:tcW w:w="427"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保护对象</w:t>
                  </w:r>
                </w:p>
              </w:tc>
              <w:tc>
                <w:tcPr>
                  <w:tcW w:w="1228" w:type="dxa"/>
                  <w:gridSpan w:val="2"/>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保护内容</w:t>
                  </w:r>
                </w:p>
              </w:tc>
              <w:tc>
                <w:tcPr>
                  <w:tcW w:w="1195"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环境功能区环境</w:t>
                  </w:r>
                </w:p>
              </w:tc>
              <w:tc>
                <w:tcPr>
                  <w:tcW w:w="427"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方位</w:t>
                  </w:r>
                </w:p>
              </w:tc>
              <w:tc>
                <w:tcPr>
                  <w:tcW w:w="699" w:type="dxa"/>
                  <w:gridSpan w:val="3"/>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与厂界距</w:t>
                  </w:r>
                </w:p>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6"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p>
              </w:tc>
              <w:tc>
                <w:tcPr>
                  <w:tcW w:w="583"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p>
              </w:tc>
              <w:tc>
                <w:tcPr>
                  <w:tcW w:w="1280" w:type="dxa"/>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经度</w:t>
                  </w:r>
                </w:p>
              </w:tc>
              <w:tc>
                <w:tcPr>
                  <w:tcW w:w="1596" w:type="dxa"/>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纬度</w:t>
                  </w:r>
                </w:p>
              </w:tc>
              <w:tc>
                <w:tcPr>
                  <w:tcW w:w="427"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p>
              </w:tc>
              <w:tc>
                <w:tcPr>
                  <w:tcW w:w="1228" w:type="dxa"/>
                  <w:gridSpan w:val="2"/>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p>
              </w:tc>
              <w:tc>
                <w:tcPr>
                  <w:tcW w:w="1195"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p>
              </w:tc>
              <w:tc>
                <w:tcPr>
                  <w:tcW w:w="427"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p>
              </w:tc>
              <w:tc>
                <w:tcPr>
                  <w:tcW w:w="699" w:type="dxa"/>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7" w:type="dxa"/>
                <w:trHeight w:val="614" w:hRule="atLeast"/>
              </w:trPr>
              <w:tc>
                <w:tcPr>
                  <w:tcW w:w="656" w:type="dxa"/>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环境空气</w:t>
                  </w:r>
                </w:p>
              </w:tc>
              <w:tc>
                <w:tcPr>
                  <w:tcW w:w="5114" w:type="dxa"/>
                  <w:gridSpan w:val="6"/>
                  <w:tcBorders>
                    <w:tl2br w:val="nil"/>
                    <w:tr2bl w:val="nil"/>
                  </w:tcBorders>
                  <w:vAlign w:val="center"/>
                </w:tcPr>
                <w:p>
                  <w:pPr>
                    <w:pStyle w:val="10"/>
                    <w:keepNext w:val="0"/>
                    <w:keepLines w:val="0"/>
                    <w:pageBreakBefore w:val="0"/>
                    <w:widowControl w:val="0"/>
                    <w:kinsoku/>
                    <w:wordWrap/>
                    <w:overflowPunct/>
                    <w:topLinePunct w:val="0"/>
                    <w:bidi w:val="0"/>
                    <w:adjustRightIn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项目周边500m范围内不涉及特殊敏感目标，也不涉及村庄保护目标</w:t>
                  </w:r>
                </w:p>
              </w:tc>
              <w:tc>
                <w:tcPr>
                  <w:tcW w:w="2284"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r>
                    <w:rPr>
                      <w:rFonts w:hint="default" w:ascii="Times New Roman" w:hAnsi="Times New Roman" w:eastAsia="宋体" w:cs="Times New Roman"/>
                      <w:color w:val="auto"/>
                      <w:sz w:val="21"/>
                      <w:szCs w:val="21"/>
                    </w:rPr>
                    <w:t>《环境空气质量标准》（GB3095-2012）二类区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7" w:type="dxa"/>
              </w:trPr>
              <w:tc>
                <w:tcPr>
                  <w:tcW w:w="656" w:type="dxa"/>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rPr>
                    <w:t>地下水</w:t>
                  </w:r>
                </w:p>
              </w:tc>
              <w:tc>
                <w:tcPr>
                  <w:tcW w:w="7398" w:type="dxa"/>
                  <w:gridSpan w:val="10"/>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本项目 500m 范围内不涉及地下水集中式饮用水水源和热水、矿泉水、温泉等特殊地下水资源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7" w:type="dxa"/>
              </w:trPr>
              <w:tc>
                <w:tcPr>
                  <w:tcW w:w="656" w:type="dxa"/>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地表水</w:t>
                  </w:r>
                </w:p>
              </w:tc>
              <w:tc>
                <w:tcPr>
                  <w:tcW w:w="3907" w:type="dxa"/>
                  <w:gridSpan w:val="5"/>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滹沱河</w:t>
                  </w:r>
                </w:p>
              </w:tc>
              <w:tc>
                <w:tcPr>
                  <w:tcW w:w="2402"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r>
                    <w:rPr>
                      <w:rFonts w:hint="default" w:ascii="Times New Roman" w:hAnsi="Times New Roman" w:eastAsia="宋体" w:cs="Times New Roman"/>
                      <w:color w:val="auto"/>
                      <w:szCs w:val="21"/>
                    </w:rPr>
                    <w:t>《地表水环境质量标准》（GB3838-2002）中Ⅱ类标准</w:t>
                  </w:r>
                </w:p>
              </w:tc>
              <w:tc>
                <w:tcPr>
                  <w:tcW w:w="544"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w:t>
                  </w:r>
                </w:p>
              </w:tc>
              <w:tc>
                <w:tcPr>
                  <w:tcW w:w="5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7" w:type="dxa"/>
              </w:trPr>
              <w:tc>
                <w:tcPr>
                  <w:tcW w:w="656" w:type="dxa"/>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rPr>
                    <w:t>声环境</w:t>
                  </w:r>
                </w:p>
              </w:tc>
              <w:tc>
                <w:tcPr>
                  <w:tcW w:w="7398" w:type="dxa"/>
                  <w:gridSpan w:val="10"/>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本项目50m范围内不涉及声环境保护目标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7" w:type="dxa"/>
              </w:trPr>
              <w:tc>
                <w:tcPr>
                  <w:tcW w:w="656" w:type="dxa"/>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rPr>
                    <w:t>生态环境</w:t>
                  </w:r>
                </w:p>
              </w:tc>
              <w:tc>
                <w:tcPr>
                  <w:tcW w:w="7398" w:type="dxa"/>
                  <w:gridSpan w:val="10"/>
                  <w:tcBorders>
                    <w:tl2br w:val="nil"/>
                    <w:tr2bl w:val="nil"/>
                  </w:tcBorders>
                  <w:vAlign w:val="center"/>
                </w:tcPr>
                <w:p>
                  <w:pPr>
                    <w:keepNext w:val="0"/>
                    <w:keepLines w:val="0"/>
                    <w:pageBreakBefore w:val="0"/>
                    <w:widowControl w:val="0"/>
                    <w:kinsoku/>
                    <w:wordWrap/>
                    <w:overflowPunct/>
                    <w:topLinePunct w:val="0"/>
                    <w:bidi w:val="0"/>
                    <w:adjustRightInd w:val="0"/>
                    <w:snapToGrid w:val="0"/>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本项目新增用地范围内不涉及生态环境保护目标</w:t>
                  </w:r>
                </w:p>
              </w:tc>
            </w:tr>
          </w:tbl>
          <w:p>
            <w:pPr>
              <w:adjustRightInd w:val="0"/>
              <w:snapToGrid w:val="0"/>
              <w:jc w:val="left"/>
              <w:rPr>
                <w:rFonts w:hint="eastAsia" w:ascii="Times New Roman" w:hAnsi="Times New Roman" w:cs="Times New Roman" w:eastAsiaTheme="minorEastAsia"/>
                <w:color w:val="auto"/>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62" w:hRule="atLeast"/>
        </w:trPr>
        <w:tc>
          <w:tcPr>
            <w:tcW w:w="472" w:type="dxa"/>
            <w:tcBorders>
              <w:tl2br w:val="nil"/>
              <w:tr2bl w:val="nil"/>
            </w:tcBorders>
            <w:tcMar>
              <w:left w:w="28" w:type="dxa"/>
              <w:right w:w="28" w:type="dxa"/>
            </w:tcMar>
            <w:vAlign w:val="center"/>
          </w:tcPr>
          <w:p>
            <w:pPr>
              <w:adjustRightInd w:val="0"/>
              <w:snapToGrid w:val="0"/>
              <w:jc w:val="center"/>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污染</w:t>
            </w:r>
          </w:p>
          <w:p>
            <w:pPr>
              <w:adjustRightInd w:val="0"/>
              <w:snapToGrid w:val="0"/>
              <w:jc w:val="center"/>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物排</w:t>
            </w:r>
          </w:p>
          <w:p>
            <w:pPr>
              <w:adjustRightInd w:val="0"/>
              <w:snapToGrid w:val="0"/>
              <w:jc w:val="center"/>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放控</w:t>
            </w:r>
          </w:p>
          <w:p>
            <w:pPr>
              <w:adjustRightInd w:val="0"/>
              <w:snapToGrid w:val="0"/>
              <w:jc w:val="center"/>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制标</w:t>
            </w:r>
          </w:p>
          <w:p>
            <w:pPr>
              <w:adjustRightInd w:val="0"/>
              <w:snapToGrid w:val="0"/>
              <w:jc w:val="center"/>
              <w:rPr>
                <w:rFonts w:ascii="Times New Roman" w:hAnsi="Times New Roman" w:cs="Times New Roman"/>
                <w:color w:val="auto"/>
                <w:kern w:val="0"/>
                <w:szCs w:val="21"/>
              </w:rPr>
            </w:pPr>
            <w:r>
              <w:rPr>
                <w:rFonts w:ascii="Times New Roman" w:hAnsi="Times New Roman" w:cs="Times New Roman"/>
                <w:b/>
                <w:bCs/>
                <w:color w:val="auto"/>
                <w:kern w:val="0"/>
                <w:sz w:val="24"/>
                <w:szCs w:val="24"/>
              </w:rPr>
              <w:t>准</w:t>
            </w:r>
          </w:p>
        </w:tc>
        <w:tc>
          <w:tcPr>
            <w:tcW w:w="8307" w:type="dxa"/>
            <w:tcBorders>
              <w:tl2br w:val="nil"/>
              <w:tr2bl w:val="nil"/>
            </w:tcBorders>
            <w:vAlign w:val="center"/>
          </w:tcPr>
          <w:p>
            <w:pPr>
              <w:pStyle w:val="33"/>
              <w:numPr>
                <w:ilvl w:val="0"/>
                <w:numId w:val="2"/>
              </w:numPr>
              <w:adjustRightInd w:val="0"/>
              <w:snapToGrid w:val="0"/>
              <w:ind w:firstLineChars="0"/>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废气</w:t>
            </w:r>
          </w:p>
          <w:p>
            <w:pPr>
              <w:spacing w:line="480" w:lineRule="exact"/>
              <w:ind w:firstLine="720" w:firstLineChars="300"/>
              <w:rPr>
                <w:rFonts w:ascii="Times New Roman" w:hAnsi="Times New Roman" w:eastAsia="宋体" w:cs="Times New Roman"/>
                <w:color w:val="auto"/>
                <w:sz w:val="24"/>
              </w:rPr>
            </w:pPr>
            <w:r>
              <w:rPr>
                <w:rFonts w:ascii="Times New Roman" w:hAnsi="Times New Roman" w:eastAsia="宋体" w:cs="Times New Roman"/>
                <w:color w:val="auto"/>
                <w:sz w:val="24"/>
              </w:rPr>
              <w:t>运营期有组织大气污染物氨、H</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S执行《恶臭污染物排放标准》（GB14554-93）中表2标准，标准限值见下表。</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 xml:space="preserve">表3-10  恶臭污染物排放标准值   </w:t>
            </w:r>
          </w:p>
          <w:tbl>
            <w:tblPr>
              <w:tblStyle w:val="24"/>
              <w:tblW w:w="80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715"/>
              <w:gridCol w:w="2576"/>
              <w:gridCol w:w="2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1"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序号</w:t>
                  </w:r>
                </w:p>
              </w:tc>
              <w:tc>
                <w:tcPr>
                  <w:tcW w:w="2715"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控制项目</w:t>
                  </w:r>
                </w:p>
              </w:tc>
              <w:tc>
                <w:tcPr>
                  <w:tcW w:w="2576"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排气筒高度</w:t>
                  </w:r>
                </w:p>
              </w:tc>
              <w:tc>
                <w:tcPr>
                  <w:tcW w:w="2066"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排放量kg/h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1"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1</w:t>
                  </w:r>
                </w:p>
              </w:tc>
              <w:tc>
                <w:tcPr>
                  <w:tcW w:w="2715"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氨</w:t>
                  </w:r>
                </w:p>
              </w:tc>
              <w:tc>
                <w:tcPr>
                  <w:tcW w:w="2576"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15m</w:t>
                  </w:r>
                </w:p>
              </w:tc>
              <w:tc>
                <w:tcPr>
                  <w:tcW w:w="2066"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1"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2</w:t>
                  </w:r>
                </w:p>
              </w:tc>
              <w:tc>
                <w:tcPr>
                  <w:tcW w:w="2715"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硫化氢</w:t>
                  </w:r>
                </w:p>
              </w:tc>
              <w:tc>
                <w:tcPr>
                  <w:tcW w:w="2576"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15m</w:t>
                  </w:r>
                </w:p>
              </w:tc>
              <w:tc>
                <w:tcPr>
                  <w:tcW w:w="2066"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31"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3</w:t>
                  </w:r>
                </w:p>
              </w:tc>
              <w:tc>
                <w:tcPr>
                  <w:tcW w:w="2715"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臭气浓度（无量纲）</w:t>
                  </w:r>
                </w:p>
              </w:tc>
              <w:tc>
                <w:tcPr>
                  <w:tcW w:w="2576"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15m</w:t>
                  </w:r>
                </w:p>
              </w:tc>
              <w:tc>
                <w:tcPr>
                  <w:tcW w:w="2066"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2000</w:t>
                  </w:r>
                </w:p>
              </w:tc>
            </w:tr>
          </w:tbl>
          <w:p>
            <w:pPr>
              <w:spacing w:line="480" w:lineRule="exact"/>
              <w:ind w:firstLine="720" w:firstLineChars="300"/>
              <w:rPr>
                <w:rFonts w:ascii="Times New Roman" w:hAnsi="Times New Roman" w:eastAsia="宋体" w:cs="Times New Roman"/>
                <w:color w:val="auto"/>
                <w:sz w:val="24"/>
              </w:rPr>
            </w:pPr>
            <w:r>
              <w:rPr>
                <w:rFonts w:ascii="Times New Roman" w:hAnsi="Times New Roman" w:eastAsia="宋体" w:cs="Times New Roman"/>
                <w:color w:val="auto"/>
                <w:sz w:val="24"/>
              </w:rPr>
              <w:t>运营期无组织大气污染物执行《城镇污水处理厂污染物排放标准》（GB18918-2002）表4中的二级标准。</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表3-11  厂界（防护带边缘）废气排放最高允许浓度   单位：mg/m</w:t>
            </w:r>
            <w:r>
              <w:rPr>
                <w:rFonts w:ascii="Times New Roman" w:hAnsi="Times New Roman" w:eastAsia="宋体"/>
                <w:color w:val="auto"/>
                <w:sz w:val="24"/>
                <w:szCs w:val="24"/>
                <w:vertAlign w:val="superscript"/>
              </w:rPr>
              <w:t>3</w:t>
            </w:r>
          </w:p>
          <w:tbl>
            <w:tblPr>
              <w:tblStyle w:val="24"/>
              <w:tblW w:w="80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3"/>
              <w:gridCol w:w="4556"/>
              <w:gridCol w:w="2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dxa"/>
                  <w:tcBorders>
                    <w:tl2br w:val="nil"/>
                    <w:tr2bl w:val="nil"/>
                  </w:tcBorders>
                </w:tcPr>
                <w:p>
                  <w:pPr>
                    <w:jc w:val="center"/>
                    <w:rPr>
                      <w:rFonts w:ascii="Times New Roman" w:hAnsi="Times New Roman" w:eastAsia="宋体" w:cs="Times New Roman"/>
                      <w:b/>
                      <w:bCs/>
                      <w:color w:val="auto"/>
                      <w:spacing w:val="4"/>
                      <w:szCs w:val="21"/>
                    </w:rPr>
                  </w:pPr>
                  <w:r>
                    <w:rPr>
                      <w:rFonts w:ascii="Times New Roman" w:hAnsi="Times New Roman" w:eastAsia="宋体" w:cs="Times New Roman"/>
                      <w:b/>
                      <w:bCs/>
                      <w:color w:val="auto"/>
                      <w:spacing w:val="4"/>
                      <w:szCs w:val="21"/>
                    </w:rPr>
                    <w:t>序号</w:t>
                  </w:r>
                </w:p>
              </w:tc>
              <w:tc>
                <w:tcPr>
                  <w:tcW w:w="4556" w:type="dxa"/>
                  <w:tcBorders>
                    <w:tl2br w:val="nil"/>
                    <w:tr2bl w:val="nil"/>
                  </w:tcBorders>
                </w:tcPr>
                <w:p>
                  <w:pPr>
                    <w:jc w:val="center"/>
                    <w:rPr>
                      <w:rFonts w:ascii="Times New Roman" w:hAnsi="Times New Roman" w:eastAsia="宋体" w:cs="Times New Roman"/>
                      <w:b/>
                      <w:bCs/>
                      <w:color w:val="auto"/>
                      <w:spacing w:val="4"/>
                      <w:szCs w:val="21"/>
                    </w:rPr>
                  </w:pPr>
                  <w:r>
                    <w:rPr>
                      <w:rFonts w:ascii="Times New Roman" w:hAnsi="Times New Roman" w:eastAsia="宋体" w:cs="Times New Roman"/>
                      <w:b/>
                      <w:bCs/>
                      <w:color w:val="auto"/>
                      <w:spacing w:val="4"/>
                      <w:szCs w:val="21"/>
                    </w:rPr>
                    <w:t>控制项目</w:t>
                  </w:r>
                </w:p>
              </w:tc>
              <w:tc>
                <w:tcPr>
                  <w:tcW w:w="2699" w:type="dxa"/>
                  <w:tcBorders>
                    <w:tl2br w:val="nil"/>
                    <w:tr2bl w:val="nil"/>
                  </w:tcBorders>
                </w:tcPr>
                <w:p>
                  <w:pPr>
                    <w:jc w:val="center"/>
                    <w:rPr>
                      <w:rFonts w:ascii="Times New Roman" w:hAnsi="Times New Roman" w:eastAsia="宋体" w:cs="Times New Roman"/>
                      <w:b/>
                      <w:bCs/>
                      <w:color w:val="auto"/>
                      <w:spacing w:val="4"/>
                      <w:szCs w:val="21"/>
                    </w:rPr>
                  </w:pPr>
                  <w:r>
                    <w:rPr>
                      <w:rFonts w:ascii="Times New Roman" w:hAnsi="Times New Roman" w:eastAsia="宋体" w:cs="Times New Roman"/>
                      <w:b/>
                      <w:bCs/>
                      <w:color w:val="auto"/>
                      <w:spacing w:val="4"/>
                      <w:szCs w:val="21"/>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1</w:t>
                  </w:r>
                </w:p>
              </w:tc>
              <w:tc>
                <w:tcPr>
                  <w:tcW w:w="4556"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氨</w:t>
                  </w:r>
                </w:p>
              </w:tc>
              <w:tc>
                <w:tcPr>
                  <w:tcW w:w="2699"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2</w:t>
                  </w:r>
                </w:p>
              </w:tc>
              <w:tc>
                <w:tcPr>
                  <w:tcW w:w="4556"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硫化氢</w:t>
                  </w:r>
                </w:p>
              </w:tc>
              <w:tc>
                <w:tcPr>
                  <w:tcW w:w="2699"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33"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3</w:t>
                  </w:r>
                </w:p>
              </w:tc>
              <w:tc>
                <w:tcPr>
                  <w:tcW w:w="4556"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臭气浓度（无量纲）</w:t>
                  </w:r>
                </w:p>
              </w:tc>
              <w:tc>
                <w:tcPr>
                  <w:tcW w:w="2699" w:type="dxa"/>
                  <w:tcBorders>
                    <w:tl2br w:val="nil"/>
                    <w:tr2bl w:val="nil"/>
                  </w:tcBorders>
                </w:tcPr>
                <w:p>
                  <w:pPr>
                    <w:jc w:val="center"/>
                    <w:rPr>
                      <w:rFonts w:ascii="Times New Roman" w:hAnsi="Times New Roman" w:eastAsia="宋体" w:cs="Times New Roman"/>
                      <w:color w:val="auto"/>
                      <w:spacing w:val="4"/>
                      <w:szCs w:val="21"/>
                    </w:rPr>
                  </w:pPr>
                  <w:r>
                    <w:rPr>
                      <w:rFonts w:ascii="Times New Roman" w:hAnsi="Times New Roman" w:eastAsia="宋体" w:cs="Times New Roman"/>
                      <w:color w:val="auto"/>
                      <w:spacing w:val="4"/>
                      <w:szCs w:val="21"/>
                    </w:rPr>
                    <w:t>20</w:t>
                  </w:r>
                </w:p>
              </w:tc>
            </w:tr>
          </w:tbl>
          <w:p>
            <w:pPr>
              <w:pStyle w:val="33"/>
              <w:numPr>
                <w:ilvl w:val="0"/>
                <w:numId w:val="2"/>
              </w:numPr>
              <w:adjustRightInd w:val="0"/>
              <w:snapToGrid w:val="0"/>
              <w:spacing w:line="360" w:lineRule="auto"/>
              <w:ind w:firstLineChars="0"/>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废水</w:t>
            </w:r>
          </w:p>
          <w:p>
            <w:pPr>
              <w:pStyle w:val="33"/>
              <w:spacing w:line="360" w:lineRule="auto"/>
              <w:ind w:firstLine="48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根据《山西省城镇污水处理厂运行监督管理办法（试行）》（晋政办发〔2019〕77号），处理后水质中COD、氨氮、总磷3项达到</w:t>
            </w:r>
            <w:r>
              <w:rPr>
                <w:rFonts w:hint="eastAsia" w:ascii="Times New Roman" w:hAnsi="Times New Roman" w:eastAsia="宋体" w:cs="Times New Roman"/>
                <w:color w:val="auto"/>
                <w:kern w:val="0"/>
                <w:sz w:val="24"/>
                <w:szCs w:val="24"/>
              </w:rPr>
              <w:t>地表水</w:t>
            </w:r>
            <w:r>
              <w:rPr>
                <w:rFonts w:ascii="Times New Roman" w:hAnsi="Times New Roman" w:eastAsia="宋体" w:cs="Times New Roman"/>
                <w:color w:val="auto"/>
                <w:kern w:val="0"/>
                <w:sz w:val="24"/>
                <w:szCs w:val="24"/>
              </w:rPr>
              <w:t>Ⅴ</w:t>
            </w:r>
            <w:r>
              <w:rPr>
                <w:rFonts w:hint="eastAsia" w:ascii="Times New Roman" w:hAnsi="Times New Roman" w:eastAsia="宋体" w:cs="Times New Roman"/>
                <w:color w:val="auto"/>
                <w:kern w:val="0"/>
                <w:sz w:val="24"/>
                <w:szCs w:val="24"/>
              </w:rPr>
              <w:t>类标准</w:t>
            </w:r>
            <w:r>
              <w:rPr>
                <w:rFonts w:ascii="Times New Roman" w:hAnsi="Times New Roman" w:eastAsia="宋体" w:cs="Times New Roman"/>
                <w:color w:val="auto"/>
                <w:kern w:val="0"/>
                <w:sz w:val="24"/>
                <w:szCs w:val="24"/>
              </w:rPr>
              <w:t>，其余指标达到《城镇污水处理厂污染物排放标准》（GB18918-2002）一级标准中的A标准。指标见下表。</w:t>
            </w:r>
          </w:p>
          <w:p>
            <w:pPr>
              <w:pStyle w:val="35"/>
              <w:spacing w:line="240" w:lineRule="auto"/>
              <w:rPr>
                <w:rFonts w:ascii="Times New Roman" w:hAnsi="Times New Roman" w:eastAsia="宋体"/>
                <w:color w:val="auto"/>
                <w:sz w:val="24"/>
                <w:szCs w:val="24"/>
              </w:rPr>
            </w:pPr>
          </w:p>
          <w:p>
            <w:pPr>
              <w:pStyle w:val="35"/>
              <w:spacing w:line="240" w:lineRule="auto"/>
              <w:rPr>
                <w:rFonts w:ascii="Times New Roman" w:hAnsi="Times New Roman" w:eastAsia="宋体"/>
                <w:color w:val="auto"/>
                <w:sz w:val="24"/>
                <w:szCs w:val="24"/>
              </w:rPr>
            </w:pPr>
          </w:p>
          <w:p>
            <w:pPr>
              <w:pStyle w:val="35"/>
              <w:spacing w:line="240" w:lineRule="auto"/>
              <w:rPr>
                <w:rFonts w:ascii="Times New Roman" w:hAnsi="Times New Roman"/>
                <w:color w:val="auto"/>
                <w:sz w:val="24"/>
                <w:szCs w:val="24"/>
              </w:rPr>
            </w:pPr>
            <w:r>
              <w:rPr>
                <w:rFonts w:ascii="Times New Roman" w:hAnsi="Times New Roman" w:eastAsia="宋体"/>
                <w:color w:val="auto"/>
                <w:sz w:val="24"/>
                <w:szCs w:val="24"/>
              </w:rPr>
              <w:t>表</w:t>
            </w:r>
            <w:r>
              <w:rPr>
                <w:rFonts w:ascii="Times New Roman" w:hAnsi="Times New Roman"/>
                <w:color w:val="auto"/>
                <w:sz w:val="24"/>
                <w:szCs w:val="24"/>
              </w:rPr>
              <w:t xml:space="preserve">3-12  </w:t>
            </w:r>
            <w:r>
              <w:rPr>
                <w:rFonts w:hint="eastAsia" w:ascii="Times New Roman" w:hAnsi="Times New Roman" w:eastAsia="宋体"/>
                <w:color w:val="auto"/>
                <w:sz w:val="24"/>
                <w:szCs w:val="24"/>
                <w:lang w:eastAsia="zh-CN"/>
              </w:rPr>
              <w:t>污水处理厂</w:t>
            </w:r>
            <w:r>
              <w:rPr>
                <w:rFonts w:ascii="Times New Roman" w:hAnsi="Times New Roman" w:eastAsia="宋体"/>
                <w:color w:val="auto"/>
                <w:sz w:val="24"/>
                <w:szCs w:val="24"/>
              </w:rPr>
              <w:t>出水水质排放标准</w:t>
            </w:r>
          </w:p>
          <w:tbl>
            <w:tblPr>
              <w:tblStyle w:val="24"/>
              <w:tblW w:w="80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477"/>
              <w:gridCol w:w="1514"/>
              <w:gridCol w:w="3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序号</w:t>
                  </w:r>
                </w:p>
              </w:tc>
              <w:tc>
                <w:tcPr>
                  <w:tcW w:w="2477"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监测项目</w:t>
                  </w:r>
                </w:p>
              </w:tc>
              <w:tc>
                <w:tcPr>
                  <w:tcW w:w="1514"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标准限值</w:t>
                  </w:r>
                </w:p>
              </w:tc>
              <w:tc>
                <w:tcPr>
                  <w:tcW w:w="3212"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1</w:t>
                  </w:r>
                </w:p>
              </w:tc>
              <w:tc>
                <w:tcPr>
                  <w:tcW w:w="2477"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pH值（无量纲）</w:t>
                  </w:r>
                </w:p>
              </w:tc>
              <w:tc>
                <w:tcPr>
                  <w:tcW w:w="1514"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6～9</w:t>
                  </w:r>
                </w:p>
              </w:tc>
              <w:tc>
                <w:tcPr>
                  <w:tcW w:w="3212" w:type="dxa"/>
                  <w:vMerge w:val="restart"/>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《城镇污水处理厂污染物排放标准》（GB18918-2002）一级标准中的A标准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2</w:t>
                  </w:r>
                </w:p>
              </w:tc>
              <w:tc>
                <w:tcPr>
                  <w:tcW w:w="2477"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五日生化需氧量（BOD</w:t>
                  </w:r>
                  <w:r>
                    <w:rPr>
                      <w:rFonts w:ascii="Times New Roman" w:hAnsi="Times New Roman" w:eastAsia="宋体" w:cs="Times New Roman"/>
                      <w:color w:val="auto"/>
                      <w:sz w:val="21"/>
                      <w:vertAlign w:val="subscript"/>
                    </w:rPr>
                    <w:t>5</w:t>
                  </w:r>
                  <w:r>
                    <w:rPr>
                      <w:rFonts w:ascii="Times New Roman" w:hAnsi="Times New Roman" w:eastAsia="宋体" w:cs="Times New Roman"/>
                      <w:color w:val="auto"/>
                      <w:sz w:val="21"/>
                    </w:rPr>
                    <w:t>）</w:t>
                  </w:r>
                </w:p>
              </w:tc>
              <w:tc>
                <w:tcPr>
                  <w:tcW w:w="1514"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≤10 mg/L</w:t>
                  </w:r>
                </w:p>
              </w:tc>
              <w:tc>
                <w:tcPr>
                  <w:tcW w:w="3212" w:type="dxa"/>
                  <w:vMerge w:val="continue"/>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3</w:t>
                  </w:r>
                </w:p>
              </w:tc>
              <w:tc>
                <w:tcPr>
                  <w:tcW w:w="2477"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悬浮物（SS）</w:t>
                  </w:r>
                </w:p>
              </w:tc>
              <w:tc>
                <w:tcPr>
                  <w:tcW w:w="1514"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≤10 mg/L</w:t>
                  </w:r>
                </w:p>
              </w:tc>
              <w:tc>
                <w:tcPr>
                  <w:tcW w:w="3212" w:type="dxa"/>
                  <w:vMerge w:val="continue"/>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4</w:t>
                  </w:r>
                </w:p>
              </w:tc>
              <w:tc>
                <w:tcPr>
                  <w:tcW w:w="2477"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总氮</w:t>
                  </w:r>
                </w:p>
              </w:tc>
              <w:tc>
                <w:tcPr>
                  <w:tcW w:w="1514"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≤15.0 mg/L</w:t>
                  </w:r>
                </w:p>
              </w:tc>
              <w:tc>
                <w:tcPr>
                  <w:tcW w:w="3212" w:type="dxa"/>
                  <w:vMerge w:val="continue"/>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rPr>
                    <w:t>5</w:t>
                  </w:r>
                </w:p>
              </w:tc>
              <w:tc>
                <w:tcPr>
                  <w:tcW w:w="2477"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化学需氧量（COD）</w:t>
                  </w:r>
                </w:p>
              </w:tc>
              <w:tc>
                <w:tcPr>
                  <w:tcW w:w="1514"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≤40 mg/L</w:t>
                  </w:r>
                </w:p>
              </w:tc>
              <w:tc>
                <w:tcPr>
                  <w:tcW w:w="3212" w:type="dxa"/>
                  <w:vMerge w:val="restart"/>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kern w:val="0"/>
                      <w:szCs w:val="24"/>
                    </w:rPr>
                    <w:t>地表水</w:t>
                  </w:r>
                  <w:r>
                    <w:rPr>
                      <w:rFonts w:ascii="Times New Roman" w:hAnsi="Times New Roman" w:eastAsia="宋体" w:cs="Times New Roman"/>
                      <w:color w:val="auto"/>
                      <w:kern w:val="0"/>
                      <w:szCs w:val="24"/>
                    </w:rPr>
                    <w:t>Ⅴ</w:t>
                  </w:r>
                  <w:r>
                    <w:rPr>
                      <w:rFonts w:hint="eastAsia" w:ascii="Times New Roman" w:hAnsi="Times New Roman" w:eastAsia="宋体" w:cs="Times New Roman"/>
                      <w:color w:val="auto"/>
                      <w:kern w:val="0"/>
                      <w:szCs w:val="24"/>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rPr>
                    <w:t>6</w:t>
                  </w:r>
                </w:p>
              </w:tc>
              <w:tc>
                <w:tcPr>
                  <w:tcW w:w="2477"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氨氮（NH</w:t>
                  </w:r>
                  <w:r>
                    <w:rPr>
                      <w:rFonts w:ascii="Times New Roman" w:hAnsi="Times New Roman" w:eastAsia="宋体" w:cs="Times New Roman"/>
                      <w:color w:val="auto"/>
                      <w:sz w:val="21"/>
                      <w:vertAlign w:val="subscript"/>
                    </w:rPr>
                    <w:t>3</w:t>
                  </w:r>
                  <w:r>
                    <w:rPr>
                      <w:rFonts w:ascii="Times New Roman" w:hAnsi="Times New Roman" w:eastAsia="宋体" w:cs="Times New Roman"/>
                      <w:color w:val="auto"/>
                      <w:sz w:val="21"/>
                    </w:rPr>
                    <w:t>-N）</w:t>
                  </w:r>
                </w:p>
              </w:tc>
              <w:tc>
                <w:tcPr>
                  <w:tcW w:w="1514"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≤2.0mg/L</w:t>
                  </w:r>
                </w:p>
              </w:tc>
              <w:tc>
                <w:tcPr>
                  <w:tcW w:w="3212" w:type="dxa"/>
                  <w:vMerge w:val="continue"/>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8"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rPr>
                    <w:t>7</w:t>
                  </w:r>
                </w:p>
              </w:tc>
              <w:tc>
                <w:tcPr>
                  <w:tcW w:w="2477"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总磷（以P计）</w:t>
                  </w:r>
                </w:p>
              </w:tc>
              <w:tc>
                <w:tcPr>
                  <w:tcW w:w="1514" w:type="dxa"/>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r>
                    <w:rPr>
                      <w:rFonts w:ascii="Times New Roman" w:hAnsi="Times New Roman" w:eastAsia="宋体" w:cs="Times New Roman"/>
                      <w:color w:val="auto"/>
                      <w:sz w:val="21"/>
                    </w:rPr>
                    <w:t>≤0.4mg/L</w:t>
                  </w:r>
                </w:p>
              </w:tc>
              <w:tc>
                <w:tcPr>
                  <w:tcW w:w="3212" w:type="dxa"/>
                  <w:vMerge w:val="continue"/>
                  <w:tcBorders>
                    <w:tl2br w:val="nil"/>
                    <w:tr2bl w:val="nil"/>
                  </w:tcBorders>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ascii="Times New Roman" w:hAnsi="Times New Roman" w:eastAsia="宋体" w:cs="Times New Roman"/>
                      <w:color w:val="auto"/>
                    </w:rPr>
                  </w:pPr>
                </w:p>
              </w:tc>
            </w:tr>
          </w:tbl>
          <w:p>
            <w:pPr>
              <w:pStyle w:val="33"/>
              <w:numPr>
                <w:ilvl w:val="0"/>
                <w:numId w:val="2"/>
              </w:numPr>
              <w:adjustRightInd w:val="0"/>
              <w:snapToGrid w:val="0"/>
              <w:ind w:firstLineChars="0"/>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噪声</w:t>
            </w:r>
          </w:p>
          <w:p>
            <w:pPr>
              <w:topLinePunct/>
              <w:spacing w:line="480" w:lineRule="atLeast"/>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本项目施工期间执行《建筑施工场界环境噪声排放标准》（GB12523-2011），见下表。</w:t>
            </w:r>
          </w:p>
          <w:p>
            <w:pPr>
              <w:pStyle w:val="35"/>
              <w:spacing w:line="240" w:lineRule="auto"/>
              <w:rPr>
                <w:rFonts w:ascii="Times New Roman" w:hAnsi="Times New Roman" w:eastAsia="宋体"/>
                <w:color w:val="auto"/>
                <w:sz w:val="24"/>
                <w:szCs w:val="24"/>
              </w:rPr>
            </w:pP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表3-13  《建筑施工场界环境噪声排放标准》（GB12523-2011）LAeq：dB(A)</w:t>
            </w:r>
          </w:p>
          <w:tbl>
            <w:tblPr>
              <w:tblStyle w:val="24"/>
              <w:tblW w:w="809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96"/>
              <w:gridCol w:w="2697"/>
              <w:gridCol w:w="26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96" w:type="dxa"/>
                  <w:tcBorders>
                    <w:tl2br w:val="nil"/>
                    <w:tr2bl w:val="nil"/>
                  </w:tcBorders>
                  <w:vAlign w:val="center"/>
                </w:tcPr>
                <w:p>
                  <w:pPr>
                    <w:topLinePunct/>
                    <w:jc w:val="center"/>
                    <w:rPr>
                      <w:rFonts w:ascii="Times New Roman" w:hAnsi="Times New Roman" w:eastAsia="宋体" w:cs="Times New Roman"/>
                      <w:color w:val="auto"/>
                    </w:rPr>
                  </w:pPr>
                  <w:r>
                    <w:rPr>
                      <w:rFonts w:ascii="Times New Roman" w:hAnsi="Times New Roman" w:eastAsia="宋体" w:cs="Times New Roman"/>
                      <w:color w:val="auto"/>
                    </w:rPr>
                    <w:t>标准类别</w:t>
                  </w:r>
                </w:p>
              </w:tc>
              <w:tc>
                <w:tcPr>
                  <w:tcW w:w="2697" w:type="dxa"/>
                  <w:tcBorders>
                    <w:tl2br w:val="nil"/>
                    <w:tr2bl w:val="nil"/>
                  </w:tcBorders>
                  <w:vAlign w:val="center"/>
                </w:tcPr>
                <w:p>
                  <w:pPr>
                    <w:topLinePunct/>
                    <w:jc w:val="center"/>
                    <w:rPr>
                      <w:rFonts w:ascii="Times New Roman" w:hAnsi="Times New Roman" w:eastAsia="宋体" w:cs="Times New Roman"/>
                      <w:color w:val="auto"/>
                    </w:rPr>
                  </w:pPr>
                  <w:r>
                    <w:rPr>
                      <w:rFonts w:ascii="Times New Roman" w:hAnsi="Times New Roman" w:eastAsia="宋体" w:cs="Times New Roman"/>
                      <w:color w:val="auto"/>
                    </w:rPr>
                    <w:t>昼间</w:t>
                  </w:r>
                </w:p>
              </w:tc>
              <w:tc>
                <w:tcPr>
                  <w:tcW w:w="2698" w:type="dxa"/>
                  <w:tcBorders>
                    <w:tl2br w:val="nil"/>
                    <w:tr2bl w:val="nil"/>
                  </w:tcBorders>
                  <w:vAlign w:val="center"/>
                </w:tcPr>
                <w:p>
                  <w:pPr>
                    <w:topLinePunct/>
                    <w:jc w:val="center"/>
                    <w:rPr>
                      <w:rFonts w:ascii="Times New Roman" w:hAnsi="Times New Roman" w:eastAsia="宋体" w:cs="Times New Roman"/>
                      <w:color w:val="auto"/>
                    </w:rPr>
                  </w:pPr>
                  <w:r>
                    <w:rPr>
                      <w:rFonts w:ascii="Times New Roman" w:hAnsi="Times New Roman" w:eastAsia="宋体" w:cs="Times New Roman"/>
                      <w:color w:val="auto"/>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696" w:type="dxa"/>
                  <w:tcBorders>
                    <w:tl2br w:val="nil"/>
                    <w:tr2bl w:val="nil"/>
                  </w:tcBorders>
                  <w:vAlign w:val="center"/>
                </w:tcPr>
                <w:p>
                  <w:pPr>
                    <w:topLinePunct/>
                    <w:jc w:val="center"/>
                    <w:rPr>
                      <w:rFonts w:ascii="Times New Roman" w:hAnsi="Times New Roman" w:eastAsia="宋体" w:cs="Times New Roman"/>
                      <w:color w:val="auto"/>
                    </w:rPr>
                  </w:pPr>
                  <w:r>
                    <w:rPr>
                      <w:rFonts w:ascii="Times New Roman" w:hAnsi="Times New Roman" w:eastAsia="宋体" w:cs="Times New Roman"/>
                      <w:color w:val="auto"/>
                    </w:rPr>
                    <w:t>场界</w:t>
                  </w:r>
                </w:p>
              </w:tc>
              <w:tc>
                <w:tcPr>
                  <w:tcW w:w="2697" w:type="dxa"/>
                  <w:tcBorders>
                    <w:tl2br w:val="nil"/>
                    <w:tr2bl w:val="nil"/>
                  </w:tcBorders>
                  <w:vAlign w:val="center"/>
                </w:tcPr>
                <w:p>
                  <w:pPr>
                    <w:topLinePunct/>
                    <w:jc w:val="center"/>
                    <w:rPr>
                      <w:rFonts w:ascii="Times New Roman" w:hAnsi="Times New Roman" w:eastAsia="宋体" w:cs="Times New Roman"/>
                      <w:color w:val="auto"/>
                    </w:rPr>
                  </w:pPr>
                  <w:r>
                    <w:rPr>
                      <w:rFonts w:ascii="Times New Roman" w:hAnsi="Times New Roman" w:eastAsia="宋体" w:cs="Times New Roman"/>
                      <w:color w:val="auto"/>
                    </w:rPr>
                    <w:t>70</w:t>
                  </w:r>
                </w:p>
              </w:tc>
              <w:tc>
                <w:tcPr>
                  <w:tcW w:w="2698" w:type="dxa"/>
                  <w:tcBorders>
                    <w:tl2br w:val="nil"/>
                    <w:tr2bl w:val="nil"/>
                  </w:tcBorders>
                  <w:vAlign w:val="center"/>
                </w:tcPr>
                <w:p>
                  <w:pPr>
                    <w:topLinePunct/>
                    <w:jc w:val="center"/>
                    <w:rPr>
                      <w:rFonts w:ascii="Times New Roman" w:hAnsi="Times New Roman" w:eastAsia="宋体" w:cs="Times New Roman"/>
                      <w:color w:val="auto"/>
                    </w:rPr>
                  </w:pPr>
                  <w:r>
                    <w:rPr>
                      <w:rFonts w:ascii="Times New Roman" w:hAnsi="Times New Roman" w:eastAsia="宋体" w:cs="Times New Roman"/>
                      <w:color w:val="auto"/>
                    </w:rPr>
                    <w:t>55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ascii="Times New Roman" w:hAnsi="Times New Roman" w:eastAsia="宋体" w:cs="Times New Roman"/>
                <w:b/>
                <w:bCs/>
                <w:color w:val="auto"/>
                <w:sz w:val="24"/>
              </w:rPr>
            </w:pPr>
            <w:r>
              <w:rPr>
                <w:rFonts w:ascii="Times New Roman" w:hAnsi="Times New Roman" w:eastAsia="宋体" w:cs="Times New Roman"/>
                <w:bCs/>
                <w:color w:val="auto"/>
                <w:sz w:val="24"/>
              </w:rPr>
              <w:t>厂界噪声：厂界噪声执行《工业企业厂界环境噪声排放标准》（GB12348-2008）2类标准</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详见下表。</w:t>
            </w:r>
          </w:p>
          <w:p>
            <w:pPr>
              <w:pStyle w:val="35"/>
              <w:spacing w:line="240" w:lineRule="auto"/>
              <w:rPr>
                <w:rFonts w:ascii="Times New Roman" w:hAnsi="Times New Roman" w:eastAsia="宋体"/>
                <w:color w:val="auto"/>
                <w:sz w:val="32"/>
                <w:szCs w:val="24"/>
              </w:rPr>
            </w:pPr>
            <w:r>
              <w:rPr>
                <w:rFonts w:ascii="Times New Roman" w:hAnsi="Times New Roman" w:eastAsia="宋体"/>
                <w:color w:val="auto"/>
                <w:sz w:val="24"/>
                <w:szCs w:val="24"/>
              </w:rPr>
              <w:t>表3-14  《工业企业厂界环境噪声排放标准》（GB12348-2008）</w:t>
            </w:r>
          </w:p>
          <w:tbl>
            <w:tblPr>
              <w:tblStyle w:val="24"/>
              <w:tblW w:w="809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07"/>
              <w:gridCol w:w="2666"/>
              <w:gridCol w:w="26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07" w:type="dxa"/>
                  <w:tcBorders>
                    <w:tl2br w:val="nil"/>
                    <w:tr2bl w:val="nil"/>
                  </w:tcBorders>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类别</w:t>
                  </w:r>
                </w:p>
              </w:tc>
              <w:tc>
                <w:tcPr>
                  <w:tcW w:w="2666" w:type="dxa"/>
                  <w:tcBorders>
                    <w:tl2br w:val="nil"/>
                    <w:tr2bl w:val="nil"/>
                  </w:tcBorders>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昼间</w:t>
                  </w:r>
                </w:p>
              </w:tc>
              <w:tc>
                <w:tcPr>
                  <w:tcW w:w="2618" w:type="dxa"/>
                  <w:tcBorders>
                    <w:tl2br w:val="nil"/>
                    <w:tr2bl w:val="nil"/>
                  </w:tcBorders>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07" w:type="dxa"/>
                  <w:tcBorders>
                    <w:tl2br w:val="nil"/>
                    <w:tr2bl w:val="nil"/>
                  </w:tcBorders>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2类</w:t>
                  </w:r>
                </w:p>
              </w:tc>
              <w:tc>
                <w:tcPr>
                  <w:tcW w:w="2666" w:type="dxa"/>
                  <w:tcBorders>
                    <w:tl2br w:val="nil"/>
                    <w:tr2bl w:val="nil"/>
                  </w:tcBorders>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60</w:t>
                  </w:r>
                </w:p>
              </w:tc>
              <w:tc>
                <w:tcPr>
                  <w:tcW w:w="2618" w:type="dxa"/>
                  <w:tcBorders>
                    <w:tl2br w:val="nil"/>
                    <w:tr2bl w:val="nil"/>
                  </w:tcBorders>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50</w:t>
                  </w:r>
                </w:p>
              </w:tc>
            </w:tr>
          </w:tbl>
          <w:p>
            <w:pPr>
              <w:pStyle w:val="33"/>
              <w:numPr>
                <w:ilvl w:val="0"/>
                <w:numId w:val="2"/>
              </w:numPr>
              <w:adjustRightInd w:val="0"/>
              <w:snapToGrid w:val="0"/>
              <w:ind w:firstLineChars="0"/>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固体废物</w:t>
            </w:r>
          </w:p>
          <w:p>
            <w:pPr>
              <w:topLinePunct/>
              <w:spacing w:line="480" w:lineRule="atLeast"/>
              <w:ind w:firstLine="480" w:firstLineChars="200"/>
              <w:rPr>
                <w:rFonts w:ascii="Times New Roman" w:hAnsi="Times New Roman" w:cs="Times New Roman"/>
                <w:color w:val="auto"/>
                <w:kern w:val="0"/>
                <w:szCs w:val="21"/>
              </w:rPr>
            </w:pPr>
            <w:r>
              <w:rPr>
                <w:rFonts w:ascii="Times New Roman" w:hAnsi="Times New Roman" w:eastAsia="宋体" w:cs="Times New Roman"/>
                <w:color w:val="auto"/>
                <w:sz w:val="24"/>
              </w:rPr>
              <w:t>固体废物执行《一般工业固体废物贮存、处置场污染控制标准》（GB18599-2020）；生活垃圾排放执行《生活垃圾填埋场污染物控制标准》（GB16889-2008）相关要求；污泥执行《城镇污水处理厂污染物排放标准》（GB18918-2002）表5中的控制指标</w:t>
            </w:r>
            <w:r>
              <w:rPr>
                <w:rFonts w:hint="eastAsia" w:ascii="Times New Roman" w:hAnsi="Times New Roman" w:eastAsia="宋体" w:cs="Times New Roman"/>
                <w:color w:val="auto"/>
                <w:sz w:val="24"/>
              </w:rPr>
              <w:t>，危险废物执行《危险废物贮存污染控制标准》（</w:t>
            </w:r>
            <w:r>
              <w:rPr>
                <w:rFonts w:ascii="Times New Roman" w:hAnsi="Times New Roman" w:eastAsia="宋体" w:cs="Times New Roman"/>
                <w:color w:val="auto"/>
                <w:sz w:val="24"/>
              </w:rPr>
              <w:t>GB18597-2001）及修改单（2013年）</w:t>
            </w:r>
            <w:r>
              <w:rPr>
                <w:rFonts w:hint="eastAsia" w:ascii="Times New Roman" w:hAnsi="Times New Roman" w:eastAsia="宋体" w:cs="Times New Roman"/>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9" w:hRule="atLeast"/>
        </w:trPr>
        <w:tc>
          <w:tcPr>
            <w:tcW w:w="472" w:type="dxa"/>
            <w:tcBorders>
              <w:tl2br w:val="nil"/>
              <w:tr2bl w:val="nil"/>
            </w:tcBorders>
            <w:vAlign w:val="center"/>
          </w:tcPr>
          <w:p>
            <w:pPr>
              <w:adjustRightInd w:val="0"/>
              <w:snapToGrid w:val="0"/>
              <w:jc w:val="center"/>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总量</w:t>
            </w:r>
          </w:p>
          <w:p>
            <w:pPr>
              <w:adjustRightInd w:val="0"/>
              <w:snapToGrid w:val="0"/>
              <w:jc w:val="center"/>
              <w:rPr>
                <w:rFonts w:ascii="Times New Roman" w:hAnsi="Times New Roman" w:cs="Times New Roman"/>
                <w:b/>
                <w:bCs/>
                <w:color w:val="auto"/>
                <w:kern w:val="0"/>
                <w:sz w:val="24"/>
                <w:szCs w:val="24"/>
              </w:rPr>
            </w:pPr>
            <w:r>
              <w:rPr>
                <w:rFonts w:ascii="Times New Roman" w:hAnsi="Times New Roman" w:cs="Times New Roman"/>
                <w:b/>
                <w:bCs/>
                <w:color w:val="auto"/>
                <w:kern w:val="0"/>
                <w:sz w:val="24"/>
                <w:szCs w:val="24"/>
              </w:rPr>
              <w:t>控制</w:t>
            </w:r>
          </w:p>
          <w:p>
            <w:pPr>
              <w:adjustRightInd w:val="0"/>
              <w:snapToGrid w:val="0"/>
              <w:jc w:val="center"/>
              <w:rPr>
                <w:rFonts w:ascii="Times New Roman" w:hAnsi="Times New Roman" w:cs="Times New Roman"/>
                <w:color w:val="auto"/>
                <w:kern w:val="0"/>
                <w:szCs w:val="21"/>
              </w:rPr>
            </w:pPr>
            <w:r>
              <w:rPr>
                <w:rFonts w:ascii="Times New Roman" w:hAnsi="Times New Roman" w:cs="Times New Roman"/>
                <w:b/>
                <w:bCs/>
                <w:color w:val="auto"/>
                <w:kern w:val="0"/>
                <w:sz w:val="24"/>
                <w:szCs w:val="24"/>
              </w:rPr>
              <w:t>指标</w:t>
            </w:r>
          </w:p>
        </w:tc>
        <w:tc>
          <w:tcPr>
            <w:tcW w:w="8307" w:type="dxa"/>
            <w:tcBorders>
              <w:tl2br w:val="nil"/>
              <w:tr2bl w:val="nil"/>
            </w:tcBorders>
            <w:vAlign w:val="center"/>
          </w:tcPr>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根据山西省环境保护厅关于印发《山西省环境保护厅建设项目主要污染物排放总量核定办法》（晋环发</w:t>
            </w:r>
            <w:r>
              <w:rPr>
                <w:rFonts w:ascii="Times New Roman" w:hAnsi="Times New Roman" w:eastAsia="宋体" w:cs="Times New Roman"/>
                <w:color w:val="auto"/>
                <w:kern w:val="0"/>
                <w:sz w:val="24"/>
                <w:szCs w:val="24"/>
              </w:rPr>
              <w:t>[2015]25 号）的要求，城市生活污水处理厂由负责环境影响评价文件审批的环境保护主管部门在环境影响评价审批文件中对建设项目主要污染物排放及防治措施提出相应管理要求，暂不纳入总量核定范围。</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因此，本项目不需申请总量控制指标。</w:t>
            </w:r>
          </w:p>
        </w:tc>
      </w:tr>
    </w:tbl>
    <w:p>
      <w:pPr>
        <w:rPr>
          <w:rFonts w:hint="eastAsia" w:ascii="Times New Roman" w:hAnsi="Times New Roman" w:cs="Times New Roman" w:eastAsiaTheme="minorEastAsia"/>
          <w:color w:val="auto"/>
          <w:lang w:eastAsia="zh-CN"/>
        </w:rPr>
      </w:pPr>
    </w:p>
    <w:p>
      <w:pPr>
        <w:pStyle w:val="21"/>
        <w:rPr>
          <w:rFonts w:hint="eastAsia"/>
          <w:color w:val="auto"/>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t>四、主要环境影响和保护措施</w:t>
      </w:r>
    </w:p>
    <w:tbl>
      <w:tblPr>
        <w:tblStyle w:val="24"/>
        <w:tblW w:w="892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Layout w:type="fixed"/>
        <w:tblCellMar>
          <w:top w:w="0" w:type="dxa"/>
          <w:left w:w="108" w:type="dxa"/>
          <w:bottom w:w="0" w:type="dxa"/>
          <w:right w:w="108" w:type="dxa"/>
        </w:tblCellMar>
      </w:tblPr>
      <w:tblGrid>
        <w:gridCol w:w="284"/>
        <w:gridCol w:w="863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CellMar>
            <w:top w:w="0" w:type="dxa"/>
            <w:left w:w="108" w:type="dxa"/>
            <w:bottom w:w="0" w:type="dxa"/>
            <w:right w:w="108" w:type="dxa"/>
          </w:tblCellMar>
        </w:tblPrEx>
        <w:trPr>
          <w:jc w:val="center"/>
        </w:trPr>
        <w:tc>
          <w:tcPr>
            <w:tcW w:w="284" w:type="dxa"/>
            <w:tcBorders>
              <w:tl2br w:val="nil"/>
              <w:tr2bl w:val="nil"/>
            </w:tcBorders>
            <w:tcMar>
              <w:left w:w="28" w:type="dxa"/>
              <w:right w:w="28" w:type="dxa"/>
            </w:tcMar>
            <w:vAlign w:val="center"/>
          </w:tcPr>
          <w:p>
            <w:pPr>
              <w:pStyle w:val="16"/>
              <w:adjustRightInd w:val="0"/>
              <w:snapToGrid w:val="0"/>
              <w:spacing w:before="0" w:beforeAutospacing="0" w:after="0" w:afterAutospacing="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施工</w:t>
            </w:r>
          </w:p>
          <w:p>
            <w:pPr>
              <w:pStyle w:val="16"/>
              <w:adjustRightInd w:val="0"/>
              <w:snapToGrid w:val="0"/>
              <w:spacing w:before="0" w:beforeAutospacing="0" w:after="0" w:afterAutospacing="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期环</w:t>
            </w:r>
          </w:p>
          <w:p>
            <w:pPr>
              <w:pStyle w:val="16"/>
              <w:adjustRightInd w:val="0"/>
              <w:snapToGrid w:val="0"/>
              <w:spacing w:before="0" w:beforeAutospacing="0" w:after="0" w:afterAutospacing="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境保</w:t>
            </w:r>
          </w:p>
          <w:p>
            <w:pPr>
              <w:pStyle w:val="16"/>
              <w:adjustRightInd w:val="0"/>
              <w:snapToGrid w:val="0"/>
              <w:spacing w:before="0" w:beforeAutospacing="0" w:after="0" w:afterAutospacing="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护措</w:t>
            </w:r>
          </w:p>
          <w:p>
            <w:pPr>
              <w:pStyle w:val="16"/>
              <w:adjustRightInd w:val="0"/>
              <w:snapToGrid w:val="0"/>
              <w:spacing w:before="0" w:beforeAutospacing="0" w:after="0" w:afterAutospacing="0"/>
              <w:jc w:val="center"/>
              <w:rPr>
                <w:rFonts w:ascii="Times New Roman" w:hAnsi="Times New Roman" w:cs="Times New Roman"/>
                <w:bCs/>
                <w:color w:val="auto"/>
                <w:sz w:val="21"/>
                <w:szCs w:val="21"/>
              </w:rPr>
            </w:pPr>
            <w:r>
              <w:rPr>
                <w:rFonts w:ascii="Times New Roman" w:hAnsi="Times New Roman" w:cs="Times New Roman"/>
                <w:b/>
                <w:bCs/>
                <w:color w:val="auto"/>
                <w:sz w:val="21"/>
                <w:szCs w:val="21"/>
              </w:rPr>
              <w:t>施</w:t>
            </w:r>
          </w:p>
        </w:tc>
        <w:tc>
          <w:tcPr>
            <w:tcW w:w="8637" w:type="dxa"/>
            <w:tcBorders>
              <w:tl2br w:val="nil"/>
              <w:tr2bl w:val="nil"/>
            </w:tcBorders>
          </w:tcPr>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施工现场不设施工营地，施工人员均为附近村民。本项目施工期对环境影响主要表现在运输车辆尾气、施工噪声、施工期固体废弃物、施工废水影响等方面。施工结束后，此类影响随即消失。故施工期的环境影响是短期的、轻微的和小范围的。</w:t>
            </w:r>
          </w:p>
          <w:p>
            <w:pPr>
              <w:adjustRightInd w:val="0"/>
              <w:snapToGrid w:val="0"/>
              <w:spacing w:line="360" w:lineRule="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4.1环境空气</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为减轻项目建设对周围环境空气的影响，根据《山西省大气污染防治2018年行动计划</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山西省打赢蓝天保卫战2020 年行动计划》等相关要求，评价提出以下防治措施：</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建设单位应当在施工工地公示扬尘污染防治措施、负责人、扬尘监督管理主管部门等信息，全面落实“六个百分百”要求，即工地周边100%围挡、场内道路100%硬化、物料堆放100%覆盖、拆除和土方作业100%湿法作业、出入车辆100%清洗、渣土车辆100%密闭运输；</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从严控制渣土运输污染，渣土运输车辆全部采用“全密闭</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全定位</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全监控”的新型环保渣土车，并符合环保尾气排放标准；无主管部门核发渣土运输许可证和交警部门核发限行道路通行证的车辆一律不得进入工地，密闭不严、车轮带泥的车辆，一律不得驶出工地；</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渣土运输必须按照规定线路、规定时间行驶，必须到指定场所倾倒；</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土方及建筑垃圾及时清运，不能及时清运时必须采取苫盖措施；</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⑤</w:t>
            </w:r>
            <w:r>
              <w:rPr>
                <w:rFonts w:ascii="Times New Roman" w:hAnsi="Times New Roman" w:eastAsia="宋体" w:cs="Times New Roman"/>
                <w:color w:val="auto"/>
                <w:kern w:val="0"/>
                <w:sz w:val="24"/>
                <w:szCs w:val="24"/>
              </w:rPr>
              <w:t>运输道路及时清扫、定期洒水，保持路面清洁湿润；</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⑥</w:t>
            </w:r>
            <w:r>
              <w:rPr>
                <w:rFonts w:ascii="Times New Roman" w:hAnsi="Times New Roman" w:eastAsia="宋体" w:cs="Times New Roman"/>
                <w:color w:val="auto"/>
                <w:kern w:val="0"/>
                <w:sz w:val="24"/>
                <w:szCs w:val="24"/>
              </w:rPr>
              <w:t>施工现场配备洒水车辆，在晴天或气候干燥的情况下，应定期洒水，保持地面湿润；暂时不施工时对裸露地面进行覆盖；</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⑦</w:t>
            </w:r>
            <w:r>
              <w:rPr>
                <w:rFonts w:ascii="Times New Roman" w:hAnsi="Times New Roman" w:eastAsia="宋体" w:cs="Times New Roman"/>
                <w:color w:val="auto"/>
                <w:kern w:val="0"/>
                <w:sz w:val="24"/>
                <w:szCs w:val="24"/>
              </w:rPr>
              <w:t>合理安排施工时序，重污染天气预警和采暖季期间，不得进行土石方作业；</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⑧</w:t>
            </w:r>
            <w:r>
              <w:rPr>
                <w:rFonts w:ascii="Times New Roman" w:hAnsi="Times New Roman" w:eastAsia="宋体" w:cs="Times New Roman"/>
                <w:color w:val="auto"/>
                <w:kern w:val="0"/>
                <w:sz w:val="24"/>
                <w:szCs w:val="24"/>
              </w:rPr>
              <w:t>选用先进的施工设备，加强施工工地管理，保持施工设备正常运行，减少施工设备待机时间，降低施工车辆在场区内的停留时间，减少施工机械及运输车辆废气产生量；</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⑨</w:t>
            </w:r>
            <w:r>
              <w:rPr>
                <w:rFonts w:ascii="Times New Roman" w:hAnsi="Times New Roman" w:eastAsia="宋体" w:cs="Times New Roman"/>
                <w:color w:val="auto"/>
                <w:kern w:val="0"/>
                <w:sz w:val="24"/>
                <w:szCs w:val="24"/>
              </w:rPr>
              <w:t>施工场地冬季采暖采用电采暖，不得燃煤。</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采取以上措施后，能够有效降低项目施工时对周围环境空气的影响。</w:t>
            </w:r>
          </w:p>
          <w:p>
            <w:pPr>
              <w:adjustRightInd w:val="0"/>
              <w:snapToGrid w:val="0"/>
              <w:spacing w:line="360" w:lineRule="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4.2水环境</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治理措施：</w:t>
            </w:r>
          </w:p>
          <w:p>
            <w:pPr>
              <w:pStyle w:val="33"/>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firstLine="480" w:firstLineChars="200"/>
              <w:textAlignment w:val="auto"/>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 xml:space="preserve"> 在施工场地设置1m</w:t>
            </w:r>
            <w:r>
              <w:rPr>
                <w:rFonts w:ascii="Times New Roman" w:hAnsi="Times New Roman" w:eastAsia="宋体" w:cs="Times New Roman"/>
                <w:color w:val="auto"/>
                <w:kern w:val="0"/>
                <w:sz w:val="24"/>
                <w:szCs w:val="24"/>
                <w:vertAlign w:val="superscript"/>
              </w:rPr>
              <w:t>3</w:t>
            </w:r>
            <w:r>
              <w:rPr>
                <w:rFonts w:ascii="Times New Roman" w:hAnsi="Times New Roman" w:eastAsia="宋体" w:cs="Times New Roman"/>
                <w:color w:val="auto"/>
                <w:kern w:val="0"/>
                <w:sz w:val="24"/>
                <w:szCs w:val="24"/>
              </w:rPr>
              <w:t>废水集中收集池，经除油、沉淀等初级简易处理后用于厂内洒水抑尘，这样可保证生活废水有效处置。</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清洗车辆废水必须要求定点。清洗场必须经水泥硬化，并布置集水沟收集废水，经除油、沉淀后可用于场地洒水。</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根据建设施工废水处置实际情况，有效处理和利用问题不大，但存在着施工单位施工随意性强，操作管理不规范情况，使部分不应排放的废水流失，从而造成了一定的环境污染。对此，评价要求本项目建设中应重点加强监督管理，在业主单位、工程监理单位、当地环境保护主管单位配合下进行。</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从施工要求方面考虑，施工期间应注意天气预报，对露天堆放的施工材料、土堆、沙堆和回填物尽量遮挡，避免物料随雨水流失，产生不必要的污染。</w:t>
            </w:r>
          </w:p>
          <w:p>
            <w:pPr>
              <w:adjustRightInd w:val="0"/>
              <w:snapToGrid w:val="0"/>
              <w:spacing w:line="360" w:lineRule="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4.3噪声</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施工期噪声污染主要来源于施工设备噪声、车辆运输产生交通噪声。</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噪声污染防治措施：</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合理安排施工计划和施工机械设备组合以及施工时间，禁止夜间（22：00-6：00）施工，避免在同一时间集中使用大量的动力机械设备。施工单位严格执行《建筑施工场界噪声限值》（GB12523-2011）的要求，在施工过程中，尽量减少运行动力机械设备的数量，尽可能使动力机械设备比较均匀地使用。</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将各种噪声比较大的机械设备远离环境敏感点，并进行一定的隔离和防护消声处理，必要的时候，可以在局部地方建立临时性声屏障，声屏障可以设在面向环境敏感点的施工场地边界上，如果产生噪声的动力机械设备相对固定，也可以设在机械设备附近。</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3）有意识地选择低噪声的机械设备，或通过排气消声器和隔离发动机</w:t>
            </w:r>
            <w:r>
              <w:rPr>
                <w:rFonts w:hint="eastAsia" w:ascii="Times New Roman" w:hAnsi="Times New Roman" w:eastAsia="宋体" w:cs="Times New Roman"/>
                <w:color w:val="auto"/>
                <w:kern w:val="0"/>
                <w:sz w:val="24"/>
                <w:szCs w:val="24"/>
                <w:lang w:eastAsia="zh-CN"/>
              </w:rPr>
              <w:t>振动</w:t>
            </w:r>
            <w:r>
              <w:rPr>
                <w:rFonts w:ascii="Times New Roman" w:hAnsi="Times New Roman" w:eastAsia="宋体" w:cs="Times New Roman"/>
                <w:color w:val="auto"/>
                <w:kern w:val="0"/>
                <w:sz w:val="24"/>
                <w:szCs w:val="24"/>
              </w:rPr>
              <w:t>部分的方法来降低噪声，其他产生噪声的部分可以采用部分封闭或者完全封闭的办法，尽量减少振动面的振幅。闲置的机械设备等应该予以关闭或者减速。一切动力机械设备都应该经常检修，特别是对那些会因为部件松动而产生噪声的机械和降噪部件损坏而导致强噪声产生的机械设备。</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4）对交通车辆造成的噪声影响要加强管理，运输车辆尽量采用较低声级的喇叭，并在环境敏感点限制车辆鸣笛。另外，还要加强项目区内的交通管制，避免在周围居民休息期间作业。</w:t>
            </w:r>
          </w:p>
          <w:p>
            <w:pPr>
              <w:adjustRightInd w:val="0"/>
              <w:snapToGrid w:val="0"/>
              <w:spacing w:line="360" w:lineRule="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4.4固体废物</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项目施工期固废主要是废包装袋</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生活垃圾</w:t>
            </w:r>
            <w:r>
              <w:rPr>
                <w:rFonts w:hint="eastAsia" w:ascii="Times New Roman" w:hAnsi="Times New Roman" w:eastAsia="宋体" w:cs="Times New Roman"/>
                <w:color w:val="auto"/>
                <w:kern w:val="0"/>
                <w:sz w:val="24"/>
                <w:szCs w:val="24"/>
                <w:lang w:val="en-US" w:eastAsia="zh-CN"/>
              </w:rPr>
              <w:t>以及土石方</w:t>
            </w:r>
            <w:r>
              <w:rPr>
                <w:rFonts w:ascii="Times New Roman" w:hAnsi="Times New Roman" w:eastAsia="宋体" w:cs="Times New Roman"/>
                <w:color w:val="auto"/>
                <w:kern w:val="0"/>
                <w:sz w:val="24"/>
                <w:szCs w:val="24"/>
              </w:rPr>
              <w:t>等。</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防治措施：</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（1）废包装袋</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环评要求设垃圾桶收集施工过程中产生的废包装袋，收集后由专人负责外送到环卫部门指定地点。</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（2）施工人员生活垃圾</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环评要求应在施工人员集中生活区设置垃圾临时封闭收集设施，由专人负责外送到环卫部门指定地点。</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3</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土石方</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施工中产生的弃土主要是管道敷设过程中多余的土方，剩余土方在管道两侧就近摊铺。</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4</w:t>
            </w:r>
            <w:r>
              <w:rPr>
                <w:rFonts w:ascii="Times New Roman" w:hAnsi="Times New Roman" w:eastAsia="宋体" w:cs="Times New Roman"/>
                <w:color w:val="auto"/>
                <w:kern w:val="0"/>
                <w:sz w:val="24"/>
                <w:szCs w:val="24"/>
              </w:rPr>
              <w:t>）施工期环境管理</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1）建设期应高度重视对生态环境影响，项目建设施工用地严格限定在规划临时用地范围内，严禁超范围用地。</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项目建设执行水土保持与环境保护工程招投标制度。主体工程发包标书中应有环境工程与水土保持工程的施工要求，并列入招标合同中，合同中明确施工单位施工过程中水土保持与环境保护责任。施工单位必须具备相应资质，承包商具有保护环境、防治水土流失的责任，对施工中造成的环境污染以及新增水土流失，负责临时防护及治理。</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3）项目建设必须严格执行“三同时”制度与竣工验收制度。</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4）资金来源及管理</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本项目环境保护工程与水土保持工程投资将全部纳入主体工程建设概算，并按照基本建设程序和资金需求安排，进行统一管理和使用，保证“三同时”要求的实现。</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p>
          <w:p>
            <w:pPr>
              <w:adjustRightInd w:val="0"/>
              <w:snapToGrid w:val="0"/>
              <w:spacing w:line="360" w:lineRule="auto"/>
              <w:rPr>
                <w:rFonts w:hint="eastAsia" w:ascii="Times New Roman" w:hAnsi="Times New Roman" w:cs="Times New Roman"/>
                <w:color w:val="auto"/>
                <w:kern w:val="0"/>
                <w:szCs w:val="21"/>
              </w:rPr>
            </w:pPr>
          </w:p>
        </w:tc>
      </w:tr>
    </w:tbl>
    <w:p>
      <w:pPr>
        <w:adjustRightInd w:val="0"/>
        <w:snapToGrid w:val="0"/>
        <w:jc w:val="center"/>
        <w:rPr>
          <w:rFonts w:ascii="Times New Roman" w:hAnsi="Times New Roman" w:cs="Times New Roman"/>
          <w:bCs/>
          <w:color w:val="auto"/>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9089"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Layout w:type="fixed"/>
        <w:tblCellMar>
          <w:top w:w="0" w:type="dxa"/>
          <w:left w:w="108" w:type="dxa"/>
          <w:bottom w:w="0" w:type="dxa"/>
          <w:right w:w="108" w:type="dxa"/>
        </w:tblCellMar>
      </w:tblPr>
      <w:tblGrid>
        <w:gridCol w:w="280"/>
        <w:gridCol w:w="880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CellMar>
            <w:top w:w="0" w:type="dxa"/>
            <w:left w:w="108" w:type="dxa"/>
            <w:bottom w:w="0" w:type="dxa"/>
            <w:right w:w="108" w:type="dxa"/>
          </w:tblCellMar>
        </w:tblPrEx>
        <w:trPr>
          <w:trHeight w:val="7777" w:hRule="atLeast"/>
          <w:jc w:val="center"/>
        </w:trPr>
        <w:tc>
          <w:tcPr>
            <w:tcW w:w="280" w:type="dxa"/>
            <w:tcBorders>
              <w:tl2br w:val="nil"/>
              <w:tr2bl w:val="nil"/>
            </w:tcBorders>
            <w:tcMar>
              <w:left w:w="28" w:type="dxa"/>
              <w:right w:w="28" w:type="dxa"/>
            </w:tcMar>
            <w:vAlign w:val="center"/>
          </w:tcPr>
          <w:p>
            <w:pPr>
              <w:adjustRightInd w:val="0"/>
              <w:snapToGrid w:val="0"/>
              <w:jc w:val="center"/>
              <w:rPr>
                <w:rFonts w:ascii="Times New Roman" w:hAnsi="Times New Roman" w:cs="Times New Roman"/>
                <w:b/>
                <w:bCs w:val="0"/>
                <w:color w:val="auto"/>
                <w:szCs w:val="21"/>
              </w:rPr>
            </w:pPr>
            <w:r>
              <w:rPr>
                <w:rFonts w:ascii="Times New Roman" w:hAnsi="Times New Roman" w:cs="Times New Roman"/>
                <w:b/>
                <w:bCs w:val="0"/>
                <w:color w:val="auto"/>
                <w:szCs w:val="21"/>
              </w:rPr>
              <w:t>运营</w:t>
            </w:r>
          </w:p>
          <w:p>
            <w:pPr>
              <w:adjustRightInd w:val="0"/>
              <w:snapToGrid w:val="0"/>
              <w:jc w:val="center"/>
              <w:rPr>
                <w:rFonts w:ascii="Times New Roman" w:hAnsi="Times New Roman" w:cs="Times New Roman"/>
                <w:b/>
                <w:bCs w:val="0"/>
                <w:color w:val="auto"/>
                <w:szCs w:val="21"/>
              </w:rPr>
            </w:pPr>
            <w:r>
              <w:rPr>
                <w:rFonts w:ascii="Times New Roman" w:hAnsi="Times New Roman" w:cs="Times New Roman"/>
                <w:b/>
                <w:bCs w:val="0"/>
                <w:color w:val="auto"/>
                <w:szCs w:val="21"/>
              </w:rPr>
              <w:t>期环</w:t>
            </w:r>
          </w:p>
          <w:p>
            <w:pPr>
              <w:adjustRightInd w:val="0"/>
              <w:snapToGrid w:val="0"/>
              <w:jc w:val="center"/>
              <w:rPr>
                <w:rFonts w:ascii="Times New Roman" w:hAnsi="Times New Roman" w:cs="Times New Roman"/>
                <w:b/>
                <w:bCs w:val="0"/>
                <w:color w:val="auto"/>
                <w:szCs w:val="21"/>
              </w:rPr>
            </w:pPr>
            <w:r>
              <w:rPr>
                <w:rFonts w:ascii="Times New Roman" w:hAnsi="Times New Roman" w:cs="Times New Roman"/>
                <w:b/>
                <w:bCs w:val="0"/>
                <w:color w:val="auto"/>
                <w:szCs w:val="21"/>
              </w:rPr>
              <w:t>境影</w:t>
            </w:r>
          </w:p>
          <w:p>
            <w:pPr>
              <w:adjustRightInd w:val="0"/>
              <w:snapToGrid w:val="0"/>
              <w:jc w:val="center"/>
              <w:rPr>
                <w:rFonts w:ascii="Times New Roman" w:hAnsi="Times New Roman" w:cs="Times New Roman"/>
                <w:b/>
                <w:bCs w:val="0"/>
                <w:color w:val="auto"/>
                <w:szCs w:val="21"/>
              </w:rPr>
            </w:pPr>
            <w:r>
              <w:rPr>
                <w:rFonts w:ascii="Times New Roman" w:hAnsi="Times New Roman" w:cs="Times New Roman"/>
                <w:b/>
                <w:bCs w:val="0"/>
                <w:color w:val="auto"/>
                <w:szCs w:val="21"/>
              </w:rPr>
              <w:t>响和</w:t>
            </w:r>
          </w:p>
          <w:p>
            <w:pPr>
              <w:adjustRightInd w:val="0"/>
              <w:snapToGrid w:val="0"/>
              <w:jc w:val="center"/>
              <w:rPr>
                <w:rFonts w:ascii="Times New Roman" w:hAnsi="Times New Roman" w:cs="Times New Roman"/>
                <w:b/>
                <w:bCs w:val="0"/>
                <w:color w:val="auto"/>
                <w:szCs w:val="21"/>
              </w:rPr>
            </w:pPr>
            <w:r>
              <w:rPr>
                <w:rFonts w:ascii="Times New Roman" w:hAnsi="Times New Roman" w:cs="Times New Roman"/>
                <w:b/>
                <w:bCs w:val="0"/>
                <w:color w:val="auto"/>
                <w:szCs w:val="21"/>
              </w:rPr>
              <w:t>保护</w:t>
            </w:r>
          </w:p>
          <w:p>
            <w:pPr>
              <w:adjustRightInd w:val="0"/>
              <w:snapToGrid w:val="0"/>
              <w:jc w:val="center"/>
              <w:rPr>
                <w:rFonts w:ascii="Times New Roman" w:hAnsi="Times New Roman" w:cs="Times New Roman"/>
                <w:bCs/>
                <w:color w:val="auto"/>
                <w:szCs w:val="21"/>
              </w:rPr>
            </w:pPr>
            <w:r>
              <w:rPr>
                <w:rFonts w:ascii="Times New Roman" w:hAnsi="Times New Roman" w:cs="Times New Roman"/>
                <w:b/>
                <w:bCs w:val="0"/>
                <w:color w:val="auto"/>
                <w:szCs w:val="21"/>
              </w:rPr>
              <w:t>措施</w:t>
            </w:r>
          </w:p>
        </w:tc>
        <w:tc>
          <w:tcPr>
            <w:tcW w:w="8809" w:type="dxa"/>
            <w:tcBorders>
              <w:tl2br w:val="nil"/>
              <w:tr2bl w:val="nil"/>
            </w:tcBorders>
            <w:vAlign w:val="center"/>
          </w:tcPr>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4.5环境空气</w:t>
            </w:r>
          </w:p>
          <w:p>
            <w:pPr>
              <w:adjustRightInd w:val="0"/>
              <w:snapToGrid w:val="0"/>
              <w:spacing w:line="360" w:lineRule="auto"/>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4</w:t>
            </w:r>
            <w:r>
              <w:rPr>
                <w:rFonts w:ascii="Times New Roman" w:hAnsi="Times New Roman" w:eastAsia="宋体" w:cs="Times New Roman"/>
                <w:b/>
                <w:bCs/>
                <w:color w:val="auto"/>
                <w:kern w:val="0"/>
                <w:sz w:val="24"/>
                <w:szCs w:val="24"/>
              </w:rPr>
              <w:t>.5.1</w:t>
            </w:r>
            <w:r>
              <w:rPr>
                <w:rFonts w:hint="eastAsia" w:ascii="Times New Roman" w:hAnsi="Times New Roman" w:eastAsia="宋体" w:cs="Times New Roman"/>
                <w:b/>
                <w:bCs/>
                <w:color w:val="auto"/>
                <w:kern w:val="0"/>
                <w:sz w:val="24"/>
                <w:szCs w:val="24"/>
              </w:rPr>
              <w:t>污染物种类</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本项目大气污染物</w:t>
            </w:r>
            <w:r>
              <w:rPr>
                <w:rFonts w:hint="eastAsia" w:ascii="Times New Roman" w:hAnsi="Times New Roman" w:eastAsia="宋体" w:cs="Times New Roman"/>
                <w:color w:val="auto"/>
                <w:kern w:val="0"/>
                <w:sz w:val="24"/>
                <w:szCs w:val="24"/>
              </w:rPr>
              <w:t>主要</w:t>
            </w:r>
            <w:r>
              <w:rPr>
                <w:rFonts w:ascii="Times New Roman" w:hAnsi="Times New Roman" w:eastAsia="宋体" w:cs="Times New Roman"/>
                <w:color w:val="auto"/>
                <w:kern w:val="0"/>
                <w:sz w:val="24"/>
                <w:szCs w:val="24"/>
              </w:rPr>
              <w:t>为污水处理过程中散发出来的恶臭污染物，恶臭的主要成分为：H</w:t>
            </w:r>
            <w:r>
              <w:rPr>
                <w:rFonts w:ascii="Times New Roman" w:hAnsi="Times New Roman" w:eastAsia="宋体" w:cs="Times New Roman"/>
                <w:color w:val="auto"/>
                <w:kern w:val="0"/>
                <w:sz w:val="24"/>
                <w:szCs w:val="24"/>
                <w:vertAlign w:val="subscript"/>
              </w:rPr>
              <w:t>2</w:t>
            </w:r>
            <w:r>
              <w:rPr>
                <w:rFonts w:ascii="Times New Roman" w:hAnsi="Times New Roman" w:eastAsia="宋体" w:cs="Times New Roman"/>
                <w:color w:val="auto"/>
                <w:kern w:val="0"/>
                <w:sz w:val="24"/>
                <w:szCs w:val="24"/>
              </w:rPr>
              <w:t>S、NH</w:t>
            </w:r>
            <w:r>
              <w:rPr>
                <w:rFonts w:ascii="Times New Roman" w:hAnsi="Times New Roman" w:eastAsia="宋体" w:cs="Times New Roman"/>
                <w:color w:val="auto"/>
                <w:kern w:val="0"/>
                <w:sz w:val="24"/>
                <w:szCs w:val="24"/>
                <w:vertAlign w:val="subscript"/>
              </w:rPr>
              <w:t>3</w:t>
            </w:r>
            <w:r>
              <w:rPr>
                <w:rFonts w:ascii="Times New Roman" w:hAnsi="Times New Roman" w:eastAsia="宋体" w:cs="Times New Roman"/>
                <w:color w:val="auto"/>
                <w:kern w:val="0"/>
                <w:sz w:val="24"/>
                <w:szCs w:val="24"/>
              </w:rPr>
              <w:t>。</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4</w:t>
            </w:r>
            <w:r>
              <w:rPr>
                <w:rFonts w:ascii="Times New Roman" w:hAnsi="Times New Roman" w:eastAsia="宋体" w:cs="Times New Roman"/>
                <w:b/>
                <w:bCs/>
                <w:color w:val="auto"/>
                <w:kern w:val="0"/>
                <w:sz w:val="24"/>
                <w:szCs w:val="24"/>
              </w:rPr>
              <w:t>.5.2</w:t>
            </w:r>
            <w:r>
              <w:rPr>
                <w:rFonts w:hint="eastAsia" w:ascii="Times New Roman" w:hAnsi="Times New Roman" w:eastAsia="宋体" w:cs="Times New Roman"/>
                <w:b/>
                <w:bCs/>
                <w:color w:val="auto"/>
                <w:kern w:val="0"/>
                <w:sz w:val="24"/>
                <w:szCs w:val="24"/>
              </w:rPr>
              <w:t>产污环节</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恶臭的主要排放部位在进水区的格栅间、曝气沉砂池、储泥池、污泥脱水间等。</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4</w:t>
            </w:r>
            <w:r>
              <w:rPr>
                <w:rFonts w:ascii="Times New Roman" w:hAnsi="Times New Roman" w:eastAsia="宋体" w:cs="Times New Roman"/>
                <w:b/>
                <w:bCs/>
                <w:color w:val="auto"/>
                <w:kern w:val="0"/>
                <w:sz w:val="24"/>
                <w:szCs w:val="24"/>
              </w:rPr>
              <w:t>.5.3</w:t>
            </w:r>
            <w:r>
              <w:rPr>
                <w:rFonts w:hint="eastAsia" w:ascii="Times New Roman" w:hAnsi="Times New Roman" w:eastAsia="宋体" w:cs="Times New Roman"/>
                <w:b/>
                <w:bCs/>
                <w:color w:val="auto"/>
                <w:kern w:val="0"/>
                <w:sz w:val="24"/>
                <w:szCs w:val="24"/>
              </w:rPr>
              <w:t>治理措施</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rPr>
              <w:t>本项目</w:t>
            </w:r>
            <w:r>
              <w:rPr>
                <w:rFonts w:ascii="Times New Roman" w:hAnsi="Times New Roman" w:eastAsia="宋体" w:cs="Times New Roman"/>
                <w:color w:val="auto"/>
                <w:kern w:val="0"/>
                <w:sz w:val="24"/>
              </w:rPr>
              <w:t>对产生恶臭气体的建构筑物采用封闭措施</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并</w:t>
            </w:r>
            <w:r>
              <w:rPr>
                <w:rFonts w:ascii="Times New Roman" w:hAnsi="Times New Roman" w:eastAsia="宋体" w:cs="Times New Roman"/>
                <w:color w:val="auto"/>
                <w:kern w:val="0"/>
                <w:sz w:val="24"/>
              </w:rPr>
              <w:t>设1套UV光解+活性炭吸附装置处理后经15m排气筒排放，风机风量为</w:t>
            </w:r>
            <w:r>
              <w:rPr>
                <w:rFonts w:hint="eastAsia" w:ascii="Times New Roman" w:hAnsi="Times New Roman" w:eastAsia="宋体" w:cs="Times New Roman"/>
                <w:color w:val="auto"/>
                <w:kern w:val="0"/>
                <w:sz w:val="24"/>
                <w:lang w:val="en-US" w:eastAsia="zh-CN"/>
              </w:rPr>
              <w:t>3</w:t>
            </w:r>
            <w:r>
              <w:rPr>
                <w:rFonts w:ascii="Times New Roman" w:hAnsi="Times New Roman" w:eastAsia="宋体" w:cs="Times New Roman"/>
                <w:color w:val="auto"/>
                <w:kern w:val="0"/>
                <w:sz w:val="24"/>
              </w:rPr>
              <w:t>0000m</w:t>
            </w:r>
            <w:r>
              <w:rPr>
                <w:rFonts w:ascii="Times New Roman" w:hAnsi="Times New Roman" w:eastAsia="宋体" w:cs="Times New Roman"/>
                <w:color w:val="auto"/>
                <w:kern w:val="0"/>
                <w:sz w:val="24"/>
                <w:vertAlign w:val="superscript"/>
              </w:rPr>
              <w:t>3</w:t>
            </w:r>
            <w:r>
              <w:rPr>
                <w:rFonts w:ascii="Times New Roman" w:hAnsi="Times New Roman" w:eastAsia="宋体" w:cs="Times New Roman"/>
                <w:color w:val="auto"/>
                <w:kern w:val="0"/>
                <w:sz w:val="24"/>
              </w:rPr>
              <w:t>/h；</w:t>
            </w:r>
            <w:r>
              <w:rPr>
                <w:rFonts w:hint="eastAsia" w:ascii="Times New Roman" w:hAnsi="Times New Roman" w:eastAsia="宋体" w:cs="Times New Roman"/>
                <w:color w:val="auto"/>
                <w:kern w:val="0"/>
                <w:sz w:val="24"/>
                <w:lang w:val="en-US" w:eastAsia="zh-CN"/>
              </w:rPr>
              <w:t>同时</w:t>
            </w:r>
            <w:r>
              <w:rPr>
                <w:rFonts w:ascii="Times New Roman" w:hAnsi="Times New Roman" w:eastAsia="宋体" w:cs="Times New Roman"/>
                <w:color w:val="auto"/>
                <w:kern w:val="0"/>
                <w:sz w:val="24"/>
              </w:rPr>
              <w:t>加强日常运行管理、加强绿化</w:t>
            </w:r>
            <w:r>
              <w:rPr>
                <w:rFonts w:ascii="Times New Roman" w:hAnsi="Times New Roman" w:eastAsia="宋体" w:cs="Times New Roman"/>
                <w:color w:val="auto"/>
                <w:sz w:val="24"/>
              </w:rPr>
              <w:t>。</w:t>
            </w:r>
            <w:r>
              <w:rPr>
                <w:rFonts w:ascii="Times New Roman" w:hAnsi="Times New Roman" w:eastAsia="宋体" w:cs="Times New Roman"/>
                <w:color w:val="auto"/>
                <w:sz w:val="24"/>
                <w:szCs w:val="24"/>
              </w:rPr>
              <w:t>本项目光氧活性炭一体机净化效率按70%计。</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bCs/>
                <w:color w:val="auto"/>
                <w:sz w:val="24"/>
                <w:szCs w:val="24"/>
              </w:rPr>
              <w:t>污水处理过程产生的恶臭气</w:t>
            </w:r>
            <w:r>
              <w:rPr>
                <w:rFonts w:ascii="Times New Roman" w:hAnsi="Times New Roman" w:eastAsia="宋体" w:cs="Times New Roman"/>
                <w:color w:val="auto"/>
                <w:sz w:val="24"/>
                <w:szCs w:val="24"/>
              </w:rPr>
              <w:t>味，污水处理厂的恶臭逸出量受污水量、污泥量、污水中溶解氧量、污泥稳定程度、污泥堆存方式及数量、日照、气温、湿度、风速等多种因素影响。恶臭物质扩散有两种形式的衰减，一种是三维空间的物理衰减，另一种是恶臭物质在日照、紫外线等作用下经过一定时间的化学衰减。</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本次项目从总图布置、运行管理、绿化等方面采取防治措施：</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合理布局。项目在总体布置上，进行了功能区划分，把管理区和生产区用绿化带隔离，并将生产区布置于主导风向的下风向。</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加强绿化。</w:t>
            </w:r>
            <w:r>
              <w:rPr>
                <w:rFonts w:ascii="Times New Roman" w:hAnsi="Times New Roman" w:eastAsia="宋体" w:cs="Times New Roman"/>
                <w:color w:val="auto"/>
                <w:sz w:val="24"/>
                <w:szCs w:val="32"/>
              </w:rPr>
              <w:t>厂区</w:t>
            </w:r>
            <w:r>
              <w:rPr>
                <w:rFonts w:ascii="Times New Roman" w:hAnsi="Times New Roman" w:eastAsia="宋体" w:cs="Times New Roman"/>
                <w:color w:val="auto"/>
                <w:sz w:val="24"/>
                <w:szCs w:val="24"/>
              </w:rPr>
              <w:t>广种树木、花草。</w:t>
            </w:r>
            <w:r>
              <w:rPr>
                <w:rFonts w:ascii="Times New Roman" w:hAnsi="Times New Roman" w:eastAsia="宋体" w:cs="Times New Roman"/>
                <w:color w:val="auto"/>
                <w:kern w:val="44"/>
                <w:sz w:val="24"/>
                <w:szCs w:val="24"/>
              </w:rPr>
              <w:t>合理选择绿化树木、花卉等品种，乔灌木结合，树木、花卉、草坪结合，多选用常绿品种起到美化、净化作用。种植绿化隔离带。</w:t>
            </w:r>
            <w:r>
              <w:rPr>
                <w:rFonts w:ascii="Times New Roman" w:hAnsi="Times New Roman" w:eastAsia="宋体" w:cs="Times New Roman"/>
                <w:color w:val="auto"/>
                <w:sz w:val="24"/>
                <w:szCs w:val="32"/>
              </w:rPr>
              <w:t>厂</w:t>
            </w:r>
            <w:r>
              <w:rPr>
                <w:rFonts w:ascii="Times New Roman" w:hAnsi="Times New Roman" w:eastAsia="宋体" w:cs="Times New Roman"/>
                <w:color w:val="auto"/>
                <w:kern w:val="0"/>
                <w:sz w:val="24"/>
              </w:rPr>
              <w:t>内</w:t>
            </w:r>
            <w:r>
              <w:rPr>
                <w:rFonts w:ascii="Times New Roman" w:hAnsi="Times New Roman" w:eastAsia="宋体" w:cs="Times New Roman"/>
                <w:color w:val="auto"/>
                <w:kern w:val="44"/>
                <w:sz w:val="24"/>
                <w:szCs w:val="24"/>
              </w:rPr>
              <w:t>有机结合，阻止恶臭气体的扩散，尽量吸附有害气体，净化</w:t>
            </w:r>
            <w:r>
              <w:rPr>
                <w:rFonts w:ascii="Times New Roman" w:hAnsi="Times New Roman" w:eastAsia="宋体" w:cs="Times New Roman"/>
                <w:color w:val="auto"/>
                <w:sz w:val="24"/>
                <w:szCs w:val="32"/>
              </w:rPr>
              <w:t>厂区</w:t>
            </w:r>
            <w:r>
              <w:rPr>
                <w:rFonts w:ascii="Times New Roman" w:hAnsi="Times New Roman" w:eastAsia="宋体" w:cs="Times New Roman"/>
                <w:color w:val="auto"/>
                <w:kern w:val="44"/>
                <w:sz w:val="24"/>
                <w:szCs w:val="24"/>
              </w:rPr>
              <w:t>及周</w:t>
            </w:r>
            <w:r>
              <w:rPr>
                <w:rFonts w:ascii="Times New Roman" w:hAnsi="Times New Roman" w:eastAsia="宋体" w:cs="Times New Roman"/>
                <w:color w:val="auto"/>
                <w:sz w:val="24"/>
                <w:szCs w:val="24"/>
              </w:rPr>
              <w:t>围环境空气。</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w:t>
            </w:r>
            <w:r>
              <w:rPr>
                <w:rFonts w:ascii="Times New Roman" w:hAnsi="Times New Roman" w:eastAsia="宋体" w:cs="Times New Roman"/>
                <w:color w:val="auto"/>
                <w:sz w:val="24"/>
                <w:szCs w:val="24"/>
              </w:rPr>
              <w:t>加强管理。 在运行操作中要加强管理，控制污泥发酵。污泥储池平时应注意加盖，防止臭气外逸。</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w:t>
            </w:r>
            <w:r>
              <w:rPr>
                <w:rFonts w:ascii="Times New Roman" w:hAnsi="Times New Roman" w:eastAsia="宋体" w:cs="Times New Roman"/>
                <w:color w:val="auto"/>
                <w:sz w:val="24"/>
                <w:szCs w:val="24"/>
              </w:rPr>
              <w:t>污泥处理设施设在全封闭建筑内，产生的污泥应及时外运，尽量减少污泥在厂内的堆存量和堆存时间。</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⑤</w:t>
            </w:r>
            <w:r>
              <w:rPr>
                <w:rFonts w:ascii="Times New Roman" w:hAnsi="Times New Roman" w:eastAsia="宋体" w:cs="Times New Roman"/>
                <w:color w:val="auto"/>
                <w:sz w:val="24"/>
                <w:szCs w:val="24"/>
              </w:rPr>
              <w:t>定期清洗污泥脱水机。粗细格栅所截留的栅渣及时清运，清洗污渍。</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⑥</w:t>
            </w:r>
            <w:r>
              <w:rPr>
                <w:rFonts w:ascii="Times New Roman" w:hAnsi="Times New Roman" w:eastAsia="宋体" w:cs="Times New Roman"/>
                <w:color w:val="auto"/>
                <w:sz w:val="24"/>
                <w:szCs w:val="24"/>
              </w:rPr>
              <w:t>在各种池子停产修理时，池底积泥暴露会散发臭气，应采取及时清除积泥的措施来防止臭气的影响。</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⑦</w:t>
            </w:r>
            <w:r>
              <w:rPr>
                <w:rFonts w:ascii="Times New Roman" w:hAnsi="Times New Roman" w:eastAsia="宋体" w:cs="Times New Roman"/>
                <w:color w:val="auto"/>
                <w:sz w:val="24"/>
                <w:szCs w:val="24"/>
              </w:rPr>
              <w:t>污泥产生的不良气味对操作工人产生一定的影响，要采用排风机进行换气，换气次数不少于8次/h，采用光氧废气净化法除臭。</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4</w:t>
            </w:r>
            <w:r>
              <w:rPr>
                <w:rFonts w:ascii="Times New Roman" w:hAnsi="Times New Roman" w:eastAsia="宋体" w:cs="Times New Roman"/>
                <w:b/>
                <w:bCs/>
                <w:color w:val="auto"/>
                <w:kern w:val="0"/>
                <w:sz w:val="24"/>
                <w:szCs w:val="24"/>
              </w:rPr>
              <w:t>.5.4</w:t>
            </w:r>
            <w:r>
              <w:rPr>
                <w:rFonts w:hint="eastAsia" w:ascii="Times New Roman" w:hAnsi="Times New Roman" w:eastAsia="宋体" w:cs="Times New Roman"/>
                <w:b/>
                <w:bCs/>
                <w:color w:val="auto"/>
                <w:kern w:val="0"/>
                <w:sz w:val="24"/>
                <w:szCs w:val="24"/>
              </w:rPr>
              <w:t>源强分析</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eastAsia="zh-CN" w:bidi="ar"/>
              </w:rPr>
            </w:pPr>
            <w:r>
              <w:rPr>
                <w:rFonts w:ascii="Times New Roman" w:hAnsi="Times New Roman" w:eastAsia="宋体" w:cs="Times New Roman"/>
                <w:color w:val="auto"/>
                <w:kern w:val="0"/>
                <w:sz w:val="24"/>
                <w:szCs w:val="24"/>
                <w:lang w:bidi="ar"/>
              </w:rPr>
              <w:t>根据美国EPA对类似处理厂恶臭污染物产生情况的研究（《废气排放模型》（美国环保署1994年11月No.68D10118）），每处理1gBOD</w:t>
            </w:r>
            <w:r>
              <w:rPr>
                <w:rFonts w:ascii="Times New Roman" w:hAnsi="Times New Roman" w:eastAsia="宋体" w:cs="Times New Roman"/>
                <w:color w:val="auto"/>
                <w:kern w:val="0"/>
                <w:sz w:val="24"/>
                <w:szCs w:val="24"/>
                <w:vertAlign w:val="subscript"/>
                <w:lang w:bidi="ar"/>
              </w:rPr>
              <w:t>5</w:t>
            </w:r>
            <w:r>
              <w:rPr>
                <w:rFonts w:ascii="Times New Roman" w:hAnsi="Times New Roman" w:eastAsia="宋体" w:cs="Times New Roman"/>
                <w:color w:val="auto"/>
                <w:kern w:val="0"/>
                <w:sz w:val="24"/>
                <w:szCs w:val="24"/>
                <w:lang w:bidi="ar"/>
              </w:rPr>
              <w:t>可产生0.0031g的NH</w:t>
            </w:r>
            <w:r>
              <w:rPr>
                <w:rFonts w:ascii="Times New Roman" w:hAnsi="Times New Roman" w:eastAsia="宋体" w:cs="Times New Roman"/>
                <w:color w:val="auto"/>
                <w:kern w:val="0"/>
                <w:sz w:val="24"/>
                <w:szCs w:val="24"/>
                <w:vertAlign w:val="subscript"/>
                <w:lang w:bidi="ar"/>
              </w:rPr>
              <w:t>3</w:t>
            </w:r>
            <w:r>
              <w:rPr>
                <w:rFonts w:ascii="Times New Roman" w:hAnsi="Times New Roman" w:eastAsia="宋体" w:cs="Times New Roman"/>
                <w:color w:val="auto"/>
                <w:kern w:val="0"/>
                <w:sz w:val="24"/>
                <w:szCs w:val="24"/>
                <w:lang w:bidi="ar"/>
              </w:rPr>
              <w:t>、0.00012g的H</w:t>
            </w:r>
            <w:r>
              <w:rPr>
                <w:rFonts w:ascii="Times New Roman" w:hAnsi="Times New Roman" w:eastAsia="宋体" w:cs="Times New Roman"/>
                <w:color w:val="auto"/>
                <w:kern w:val="0"/>
                <w:sz w:val="24"/>
                <w:szCs w:val="24"/>
                <w:vertAlign w:val="subscript"/>
                <w:lang w:bidi="ar"/>
              </w:rPr>
              <w:t>2</w:t>
            </w:r>
            <w:r>
              <w:rPr>
                <w:rFonts w:ascii="Times New Roman" w:hAnsi="Times New Roman" w:eastAsia="宋体" w:cs="Times New Roman"/>
                <w:color w:val="auto"/>
                <w:kern w:val="0"/>
                <w:sz w:val="24"/>
                <w:szCs w:val="24"/>
                <w:lang w:bidi="ar"/>
              </w:rPr>
              <w:t>S，通过设计单位提供的经验数据并结合本项目污染物特征，本项目污水处理厂设计处理水量为</w:t>
            </w:r>
            <w:r>
              <w:rPr>
                <w:rFonts w:hint="eastAsia" w:ascii="Times New Roman" w:hAnsi="Times New Roman" w:eastAsia="宋体" w:cs="Times New Roman"/>
                <w:color w:val="auto"/>
                <w:sz w:val="24"/>
                <w:szCs w:val="24"/>
                <w:lang w:val="en-US" w:eastAsia="zh-CN" w:bidi="ar"/>
              </w:rPr>
              <w:t>1250</w:t>
            </w:r>
            <w:r>
              <w:rPr>
                <w:rFonts w:ascii="Times New Roman" w:hAnsi="Times New Roman" w:eastAsia="宋体" w:cs="Times New Roman"/>
                <w:color w:val="auto"/>
                <w:kern w:val="0"/>
                <w:sz w:val="24"/>
                <w:szCs w:val="24"/>
                <w:lang w:bidi="ar"/>
              </w:rPr>
              <w:t>m</w:t>
            </w:r>
            <w:r>
              <w:rPr>
                <w:rFonts w:ascii="Times New Roman" w:hAnsi="Times New Roman" w:eastAsia="宋体" w:cs="Times New Roman"/>
                <w:color w:val="auto"/>
                <w:kern w:val="0"/>
                <w:sz w:val="24"/>
                <w:szCs w:val="24"/>
                <w:vertAlign w:val="superscript"/>
                <w:lang w:bidi="ar"/>
              </w:rPr>
              <w:t>3</w:t>
            </w:r>
            <w:r>
              <w:rPr>
                <w:rFonts w:ascii="Times New Roman" w:hAnsi="Times New Roman" w:eastAsia="宋体" w:cs="Times New Roman"/>
                <w:color w:val="auto"/>
                <w:kern w:val="0"/>
                <w:sz w:val="24"/>
                <w:szCs w:val="24"/>
                <w:lang w:bidi="ar"/>
              </w:rPr>
              <w:t>/h（</w:t>
            </w:r>
            <w:r>
              <w:rPr>
                <w:rFonts w:hint="eastAsia" w:ascii="Times New Roman" w:hAnsi="Times New Roman" w:eastAsia="宋体" w:cs="Times New Roman"/>
                <w:color w:val="auto"/>
                <w:sz w:val="24"/>
                <w:szCs w:val="24"/>
                <w:lang w:val="en-US" w:eastAsia="zh-CN" w:bidi="ar"/>
              </w:rPr>
              <w:t>30</w:t>
            </w:r>
            <w:r>
              <w:rPr>
                <w:rFonts w:ascii="Times New Roman" w:hAnsi="Times New Roman" w:eastAsia="宋体" w:cs="Times New Roman"/>
                <w:color w:val="auto"/>
                <w:kern w:val="0"/>
                <w:sz w:val="24"/>
                <w:szCs w:val="24"/>
                <w:lang w:bidi="ar"/>
              </w:rPr>
              <w:t>000m</w:t>
            </w:r>
            <w:r>
              <w:rPr>
                <w:rFonts w:ascii="Times New Roman" w:hAnsi="Times New Roman" w:eastAsia="宋体" w:cs="Times New Roman"/>
                <w:color w:val="auto"/>
                <w:kern w:val="0"/>
                <w:sz w:val="24"/>
                <w:szCs w:val="24"/>
                <w:vertAlign w:val="superscript"/>
                <w:lang w:bidi="ar"/>
              </w:rPr>
              <w:t>3</w:t>
            </w:r>
            <w:r>
              <w:rPr>
                <w:rFonts w:ascii="Times New Roman" w:hAnsi="Times New Roman" w:eastAsia="宋体" w:cs="Times New Roman"/>
                <w:color w:val="auto"/>
                <w:kern w:val="0"/>
                <w:sz w:val="24"/>
                <w:szCs w:val="24"/>
                <w:lang w:bidi="ar"/>
              </w:rPr>
              <w:t>/d），BOD</w:t>
            </w:r>
            <w:r>
              <w:rPr>
                <w:rFonts w:ascii="Times New Roman" w:hAnsi="Times New Roman" w:eastAsia="宋体" w:cs="Times New Roman"/>
                <w:color w:val="auto"/>
                <w:kern w:val="0"/>
                <w:sz w:val="24"/>
                <w:szCs w:val="24"/>
                <w:vertAlign w:val="subscript"/>
                <w:lang w:bidi="ar"/>
              </w:rPr>
              <w:t>5</w:t>
            </w:r>
            <w:r>
              <w:rPr>
                <w:rFonts w:ascii="Times New Roman" w:hAnsi="Times New Roman" w:eastAsia="宋体" w:cs="Times New Roman"/>
                <w:color w:val="auto"/>
                <w:kern w:val="0"/>
                <w:sz w:val="24"/>
                <w:szCs w:val="24"/>
                <w:lang w:bidi="ar"/>
              </w:rPr>
              <w:t>设计进水浓度为</w:t>
            </w:r>
            <w:r>
              <w:rPr>
                <w:rFonts w:ascii="Times New Roman" w:hAnsi="Times New Roman" w:eastAsia="宋体" w:cs="Times New Roman"/>
                <w:color w:val="auto"/>
                <w:sz w:val="24"/>
              </w:rPr>
              <w:t>160</w:t>
            </w:r>
            <w:r>
              <w:rPr>
                <w:rFonts w:ascii="Times New Roman" w:hAnsi="Times New Roman" w:eastAsia="宋体" w:cs="Times New Roman"/>
                <w:color w:val="auto"/>
                <w:kern w:val="0"/>
                <w:sz w:val="24"/>
                <w:szCs w:val="24"/>
                <w:lang w:bidi="ar"/>
              </w:rPr>
              <w:t xml:space="preserve">mg/L，经“预处理+ </w:t>
            </w:r>
            <w:r>
              <w:rPr>
                <w:rFonts w:hint="eastAsia" w:ascii="Times New Roman" w:hAnsi="Times New Roman" w:eastAsia="宋体" w:cs="Times New Roman"/>
                <w:color w:val="auto"/>
                <w:kern w:val="0"/>
                <w:sz w:val="24"/>
                <w:szCs w:val="24"/>
                <w:lang w:val="en-US" w:eastAsia="zh-CN" w:bidi="ar"/>
              </w:rPr>
              <w:t>改良</w:t>
            </w:r>
            <w:r>
              <w:rPr>
                <w:rFonts w:ascii="Times New Roman" w:hAnsi="Times New Roman" w:eastAsia="宋体" w:cs="Times New Roman"/>
                <w:color w:val="auto"/>
                <w:kern w:val="0"/>
                <w:sz w:val="24"/>
                <w:szCs w:val="24"/>
                <w:lang w:bidi="ar"/>
              </w:rPr>
              <w:t>A</w:t>
            </w:r>
            <w:r>
              <w:rPr>
                <w:rFonts w:ascii="Times New Roman" w:hAnsi="Times New Roman" w:eastAsia="宋体" w:cs="Times New Roman"/>
                <w:color w:val="auto"/>
                <w:kern w:val="0"/>
                <w:sz w:val="24"/>
                <w:szCs w:val="24"/>
                <w:vertAlign w:val="superscript"/>
                <w:lang w:bidi="ar"/>
              </w:rPr>
              <w:t>2</w:t>
            </w:r>
            <w:r>
              <w:rPr>
                <w:rFonts w:ascii="Times New Roman" w:hAnsi="Times New Roman" w:eastAsia="宋体" w:cs="Times New Roman"/>
                <w:color w:val="auto"/>
                <w:kern w:val="0"/>
                <w:sz w:val="24"/>
                <w:szCs w:val="24"/>
                <w:lang w:bidi="ar"/>
              </w:rPr>
              <w:t>O</w:t>
            </w:r>
            <w:r>
              <w:rPr>
                <w:rFonts w:hint="eastAsia" w:ascii="Times New Roman" w:hAnsi="Times New Roman" w:eastAsia="宋体" w:cs="Times New Roman"/>
                <w:color w:val="auto"/>
                <w:kern w:val="0"/>
                <w:sz w:val="24"/>
                <w:szCs w:val="24"/>
                <w:lang w:val="en-US" w:eastAsia="zh-CN" w:bidi="ar"/>
              </w:rPr>
              <w:t>生物池+二沉池+高密度沉淀池</w:t>
            </w:r>
            <w:r>
              <w:rPr>
                <w:rFonts w:ascii="Times New Roman" w:hAnsi="Times New Roman" w:eastAsia="宋体" w:cs="Times New Roman"/>
                <w:color w:val="auto"/>
                <w:kern w:val="0"/>
                <w:sz w:val="24"/>
                <w:szCs w:val="24"/>
                <w:lang w:bidi="ar"/>
              </w:rPr>
              <w:t>+</w:t>
            </w:r>
            <w:r>
              <w:rPr>
                <w:rFonts w:hint="eastAsia" w:ascii="Times New Roman" w:hAnsi="Times New Roman" w:eastAsia="宋体" w:cs="Times New Roman"/>
                <w:color w:val="auto"/>
                <w:kern w:val="0"/>
                <w:sz w:val="24"/>
                <w:szCs w:val="24"/>
                <w:lang w:val="en-US" w:eastAsia="zh-CN" w:bidi="ar"/>
              </w:rPr>
              <w:t>V型</w:t>
            </w:r>
            <w:r>
              <w:rPr>
                <w:rFonts w:ascii="Times New Roman" w:hAnsi="Times New Roman" w:eastAsia="宋体" w:cs="Times New Roman"/>
                <w:color w:val="auto"/>
                <w:kern w:val="0"/>
                <w:sz w:val="24"/>
                <w:szCs w:val="24"/>
                <w:lang w:bidi="ar"/>
              </w:rPr>
              <w:t>滤池工艺”处理后，BOD</w:t>
            </w:r>
            <w:r>
              <w:rPr>
                <w:rFonts w:ascii="Times New Roman" w:hAnsi="Times New Roman" w:eastAsia="宋体" w:cs="Times New Roman"/>
                <w:color w:val="auto"/>
                <w:kern w:val="0"/>
                <w:sz w:val="24"/>
                <w:szCs w:val="24"/>
                <w:vertAlign w:val="subscript"/>
                <w:lang w:bidi="ar"/>
              </w:rPr>
              <w:t>5</w:t>
            </w:r>
            <w:r>
              <w:rPr>
                <w:rFonts w:ascii="Times New Roman" w:hAnsi="Times New Roman" w:eastAsia="宋体" w:cs="Times New Roman"/>
                <w:color w:val="auto"/>
                <w:kern w:val="0"/>
                <w:sz w:val="24"/>
                <w:szCs w:val="24"/>
                <w:lang w:bidi="ar"/>
              </w:rPr>
              <w:t>总去除效率为90%，污水处理厂运行时间为24h/d，则NH</w:t>
            </w:r>
            <w:r>
              <w:rPr>
                <w:rFonts w:ascii="Times New Roman" w:hAnsi="Times New Roman" w:eastAsia="宋体" w:cs="Times New Roman"/>
                <w:color w:val="auto"/>
                <w:kern w:val="0"/>
                <w:sz w:val="24"/>
                <w:szCs w:val="24"/>
                <w:vertAlign w:val="subscript"/>
                <w:lang w:bidi="ar"/>
              </w:rPr>
              <w:t>3</w:t>
            </w:r>
            <w:r>
              <w:rPr>
                <w:rFonts w:ascii="Times New Roman" w:hAnsi="Times New Roman" w:eastAsia="宋体" w:cs="Times New Roman"/>
                <w:color w:val="auto"/>
                <w:kern w:val="0"/>
                <w:sz w:val="24"/>
                <w:szCs w:val="24"/>
                <w:lang w:bidi="ar"/>
              </w:rPr>
              <w:t>产生速率为0.</w:t>
            </w:r>
            <w:r>
              <w:rPr>
                <w:rFonts w:hint="eastAsia" w:ascii="Times New Roman" w:hAnsi="Times New Roman" w:eastAsia="宋体" w:cs="Times New Roman"/>
                <w:color w:val="auto"/>
                <w:sz w:val="24"/>
                <w:szCs w:val="24"/>
                <w:lang w:val="en-US" w:eastAsia="zh-CN" w:bidi="ar"/>
              </w:rPr>
              <w:t>558</w:t>
            </w:r>
            <w:r>
              <w:rPr>
                <w:rFonts w:ascii="Times New Roman" w:hAnsi="Times New Roman" w:eastAsia="宋体" w:cs="Times New Roman"/>
                <w:color w:val="auto"/>
                <w:kern w:val="0"/>
                <w:sz w:val="24"/>
                <w:szCs w:val="24"/>
                <w:lang w:bidi="ar"/>
              </w:rPr>
              <w:t>kg/h，H</w:t>
            </w:r>
            <w:r>
              <w:rPr>
                <w:rFonts w:ascii="Times New Roman" w:hAnsi="Times New Roman" w:eastAsia="宋体" w:cs="Times New Roman"/>
                <w:color w:val="auto"/>
                <w:kern w:val="0"/>
                <w:sz w:val="24"/>
                <w:szCs w:val="24"/>
                <w:vertAlign w:val="subscript"/>
                <w:lang w:bidi="ar"/>
              </w:rPr>
              <w:t>2</w:t>
            </w:r>
            <w:r>
              <w:rPr>
                <w:rFonts w:ascii="Times New Roman" w:hAnsi="Times New Roman" w:eastAsia="宋体" w:cs="Times New Roman"/>
                <w:color w:val="auto"/>
                <w:kern w:val="0"/>
                <w:sz w:val="24"/>
                <w:szCs w:val="24"/>
                <w:lang w:bidi="ar"/>
              </w:rPr>
              <w:t>S的产生速率为0.0</w:t>
            </w:r>
            <w:r>
              <w:rPr>
                <w:rFonts w:hint="eastAsia" w:ascii="Times New Roman" w:hAnsi="Times New Roman" w:eastAsia="宋体" w:cs="Times New Roman"/>
                <w:color w:val="auto"/>
                <w:kern w:val="0"/>
                <w:sz w:val="24"/>
                <w:szCs w:val="24"/>
                <w:lang w:val="en-US" w:eastAsia="zh-CN" w:bidi="ar"/>
              </w:rPr>
              <w:t>216</w:t>
            </w:r>
            <w:r>
              <w:rPr>
                <w:rFonts w:ascii="Times New Roman" w:hAnsi="Times New Roman" w:eastAsia="宋体" w:cs="Times New Roman"/>
                <w:color w:val="auto"/>
                <w:kern w:val="0"/>
                <w:sz w:val="24"/>
                <w:szCs w:val="24"/>
                <w:lang w:bidi="ar"/>
              </w:rPr>
              <w:t>kg/h，</w:t>
            </w:r>
            <w:r>
              <w:rPr>
                <w:rFonts w:ascii="Times New Roman" w:hAnsi="Times New Roman" w:eastAsia="宋体" w:cs="Times New Roman"/>
                <w:color w:val="auto"/>
                <w:sz w:val="24"/>
                <w:szCs w:val="24"/>
              </w:rPr>
              <w:t>管道收集效率为90%，</w:t>
            </w:r>
            <w:r>
              <w:rPr>
                <w:rFonts w:ascii="Times New Roman" w:hAnsi="Times New Roman" w:eastAsia="宋体" w:cs="Times New Roman"/>
                <w:color w:val="auto"/>
                <w:kern w:val="0"/>
                <w:sz w:val="24"/>
                <w:szCs w:val="24"/>
                <w:lang w:bidi="ar"/>
              </w:rPr>
              <w:t>本项目污水处理厂恶臭气体采用活性炭吸附处理。本评价保守估计，对恶臭气体的净化效率不低于70%。NH</w:t>
            </w:r>
            <w:r>
              <w:rPr>
                <w:rFonts w:ascii="Times New Roman" w:hAnsi="Times New Roman" w:eastAsia="宋体" w:cs="Times New Roman"/>
                <w:color w:val="auto"/>
                <w:kern w:val="0"/>
                <w:sz w:val="24"/>
                <w:szCs w:val="24"/>
                <w:vertAlign w:val="subscript"/>
                <w:lang w:bidi="ar"/>
              </w:rPr>
              <w:t>3</w:t>
            </w:r>
            <w:r>
              <w:rPr>
                <w:rFonts w:ascii="Times New Roman" w:hAnsi="Times New Roman" w:eastAsia="宋体" w:cs="Times New Roman"/>
                <w:color w:val="auto"/>
                <w:kern w:val="0"/>
                <w:sz w:val="24"/>
                <w:szCs w:val="24"/>
                <w:lang w:bidi="ar"/>
              </w:rPr>
              <w:t>和硫化氢总排放速率分别为0.</w:t>
            </w:r>
            <w:r>
              <w:rPr>
                <w:rFonts w:hint="eastAsia" w:ascii="Times New Roman" w:hAnsi="Times New Roman" w:eastAsia="宋体" w:cs="Times New Roman"/>
                <w:color w:val="auto"/>
                <w:kern w:val="0"/>
                <w:sz w:val="24"/>
                <w:szCs w:val="24"/>
                <w:lang w:val="en-US" w:eastAsia="zh-CN" w:bidi="ar"/>
              </w:rPr>
              <w:t>15066</w:t>
            </w:r>
            <w:r>
              <w:rPr>
                <w:rFonts w:ascii="Times New Roman" w:hAnsi="Times New Roman" w:eastAsia="宋体" w:cs="Times New Roman"/>
                <w:color w:val="auto"/>
                <w:kern w:val="0"/>
                <w:sz w:val="24"/>
                <w:szCs w:val="24"/>
                <w:lang w:bidi="ar"/>
              </w:rPr>
              <w:t>kg/h、0.00</w:t>
            </w:r>
            <w:r>
              <w:rPr>
                <w:rFonts w:hint="eastAsia" w:ascii="Times New Roman" w:hAnsi="Times New Roman" w:eastAsia="宋体" w:cs="Times New Roman"/>
                <w:color w:val="auto"/>
                <w:sz w:val="24"/>
                <w:szCs w:val="24"/>
                <w:lang w:val="en-US" w:eastAsia="zh-CN" w:bidi="ar"/>
              </w:rPr>
              <w:t>5832</w:t>
            </w:r>
            <w:r>
              <w:rPr>
                <w:rFonts w:ascii="Times New Roman" w:hAnsi="Times New Roman" w:eastAsia="宋体" w:cs="Times New Roman"/>
                <w:color w:val="auto"/>
                <w:kern w:val="0"/>
                <w:sz w:val="24"/>
                <w:szCs w:val="24"/>
                <w:lang w:bidi="ar"/>
              </w:rPr>
              <w:t>kg/h</w:t>
            </w:r>
            <w:r>
              <w:rPr>
                <w:rFonts w:hint="eastAsia" w:ascii="Times New Roman" w:hAnsi="Times New Roman" w:eastAsia="宋体" w:cs="Times New Roman"/>
                <w:color w:val="auto"/>
                <w:kern w:val="0"/>
                <w:sz w:val="24"/>
                <w:szCs w:val="24"/>
                <w:lang w:eastAsia="zh-CN" w:bidi="ar"/>
              </w:rPr>
              <w:t>。</w:t>
            </w:r>
          </w:p>
          <w:p>
            <w:pPr>
              <w:adjustRightInd w:val="0"/>
              <w:snapToGrid w:val="0"/>
              <w:spacing w:line="36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rPr>
              <w:t>未收集的废气无组织排放，则无组织氨的</w:t>
            </w:r>
            <w:r>
              <w:rPr>
                <w:rFonts w:ascii="Times New Roman" w:hAnsi="Times New Roman" w:eastAsia="宋体" w:cs="Times New Roman"/>
                <w:color w:val="auto"/>
                <w:sz w:val="24"/>
                <w:szCs w:val="24"/>
              </w:rPr>
              <w:t>排放速率为</w:t>
            </w:r>
            <w:r>
              <w:rPr>
                <w:rFonts w:ascii="Times New Roman" w:hAnsi="Times New Roman" w:eastAsia="宋体" w:cs="Times New Roman"/>
                <w:color w:val="auto"/>
                <w:kern w:val="0"/>
                <w:sz w:val="24"/>
                <w:szCs w:val="24"/>
                <w:lang w:bidi="ar"/>
              </w:rPr>
              <w:t>0.</w:t>
            </w:r>
            <w:r>
              <w:rPr>
                <w:rFonts w:ascii="Times New Roman" w:hAnsi="Times New Roman" w:eastAsia="宋体" w:cs="Times New Roman"/>
                <w:color w:val="auto"/>
                <w:sz w:val="24"/>
                <w:szCs w:val="24"/>
                <w:lang w:bidi="ar"/>
              </w:rPr>
              <w:t>0</w:t>
            </w:r>
            <w:r>
              <w:rPr>
                <w:rFonts w:hint="eastAsia" w:ascii="Times New Roman" w:hAnsi="Times New Roman" w:eastAsia="宋体" w:cs="Times New Roman"/>
                <w:color w:val="auto"/>
                <w:sz w:val="24"/>
                <w:szCs w:val="24"/>
                <w:lang w:val="en-US" w:eastAsia="zh-CN" w:bidi="ar"/>
              </w:rPr>
              <w:t>558</w:t>
            </w:r>
            <w:r>
              <w:rPr>
                <w:rFonts w:ascii="Times New Roman" w:hAnsi="Times New Roman" w:eastAsia="宋体" w:cs="Times New Roman"/>
                <w:color w:val="auto"/>
                <w:sz w:val="24"/>
                <w:szCs w:val="24"/>
              </w:rPr>
              <w:t>kg/h，无组织硫化氢的排放速率为</w:t>
            </w:r>
            <w:r>
              <w:rPr>
                <w:rFonts w:ascii="Times New Roman" w:hAnsi="Times New Roman" w:eastAsia="宋体" w:cs="Times New Roman"/>
                <w:color w:val="auto"/>
                <w:kern w:val="0"/>
                <w:sz w:val="24"/>
                <w:szCs w:val="24"/>
                <w:lang w:bidi="ar"/>
              </w:rPr>
              <w:t>0.</w:t>
            </w:r>
            <w:r>
              <w:rPr>
                <w:rFonts w:ascii="Times New Roman" w:hAnsi="Times New Roman" w:eastAsia="宋体" w:cs="Times New Roman"/>
                <w:color w:val="auto"/>
                <w:sz w:val="24"/>
                <w:szCs w:val="24"/>
                <w:lang w:bidi="ar"/>
              </w:rPr>
              <w:t>0</w:t>
            </w:r>
            <w:r>
              <w:rPr>
                <w:rFonts w:ascii="Times New Roman" w:hAnsi="Times New Roman" w:eastAsia="宋体" w:cs="Times New Roman"/>
                <w:color w:val="auto"/>
                <w:kern w:val="0"/>
                <w:sz w:val="24"/>
                <w:szCs w:val="24"/>
                <w:lang w:bidi="ar"/>
              </w:rPr>
              <w:t>0</w:t>
            </w:r>
            <w:r>
              <w:rPr>
                <w:rFonts w:hint="eastAsia" w:ascii="Times New Roman" w:hAnsi="Times New Roman" w:eastAsia="宋体" w:cs="Times New Roman"/>
                <w:color w:val="auto"/>
                <w:kern w:val="0"/>
                <w:sz w:val="24"/>
                <w:szCs w:val="24"/>
                <w:lang w:val="en-US" w:eastAsia="zh-CN" w:bidi="ar"/>
              </w:rPr>
              <w:t>216</w:t>
            </w:r>
            <w:r>
              <w:rPr>
                <w:rFonts w:ascii="Times New Roman" w:hAnsi="Times New Roman" w:eastAsia="宋体" w:cs="Times New Roman"/>
                <w:color w:val="auto"/>
                <w:sz w:val="24"/>
                <w:szCs w:val="24"/>
              </w:rPr>
              <w:t>kg/h。</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sz w:val="24"/>
                <w:szCs w:val="24"/>
              </w:rPr>
              <w:t>则恶臭污染物NH</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的排放量</w:t>
            </w:r>
            <w:r>
              <w:rPr>
                <w:rFonts w:hint="eastAsia" w:ascii="Times New Roman" w:hAnsi="Times New Roman" w:eastAsia="宋体" w:cs="Times New Roman"/>
                <w:color w:val="auto"/>
                <w:sz w:val="24"/>
                <w:szCs w:val="24"/>
                <w:lang w:val="en-US" w:eastAsia="zh-CN"/>
              </w:rPr>
              <w:t>约</w:t>
            </w:r>
            <w:r>
              <w:rPr>
                <w:rFonts w:ascii="Times New Roman" w:hAnsi="Times New Roman" w:eastAsia="宋体" w:cs="Times New Roman"/>
                <w:color w:val="auto"/>
                <w:sz w:val="24"/>
                <w:szCs w:val="24"/>
              </w:rPr>
              <w:t>为</w:t>
            </w:r>
            <w:r>
              <w:rPr>
                <w:rFonts w:hint="eastAsia" w:ascii="Times New Roman" w:hAnsi="Times New Roman" w:eastAsia="宋体" w:cs="Times New Roman"/>
                <w:bCs/>
                <w:color w:val="auto"/>
                <w:kern w:val="0"/>
                <w:sz w:val="24"/>
                <w:szCs w:val="24"/>
                <w:lang w:val="en-US" w:eastAsia="zh-CN"/>
              </w:rPr>
              <w:t>1.32</w:t>
            </w:r>
            <w:r>
              <w:rPr>
                <w:rFonts w:ascii="Times New Roman" w:hAnsi="Times New Roman" w:eastAsia="宋体" w:cs="Times New Roman"/>
                <w:color w:val="auto"/>
                <w:sz w:val="24"/>
                <w:szCs w:val="24"/>
              </w:rPr>
              <w:t>t/a，排放浓度为</w:t>
            </w:r>
            <w:r>
              <w:rPr>
                <w:rFonts w:hint="eastAsia" w:ascii="Times New Roman" w:hAnsi="Times New Roman" w:eastAsia="宋体" w:cs="Times New Roman"/>
                <w:bCs/>
                <w:color w:val="auto"/>
                <w:sz w:val="24"/>
                <w:szCs w:val="24"/>
                <w:lang w:val="en-US" w:eastAsia="zh-CN"/>
              </w:rPr>
              <w:t>5.022</w:t>
            </w:r>
            <w:r>
              <w:rPr>
                <w:rFonts w:ascii="Times New Roman" w:hAnsi="Times New Roman" w:eastAsia="宋体" w:cs="Times New Roman"/>
                <w:bCs/>
                <w:color w:val="auto"/>
                <w:kern w:val="0"/>
                <w:sz w:val="24"/>
                <w:szCs w:val="24"/>
              </w:rPr>
              <w:t>mg/m³</w:t>
            </w:r>
            <w:r>
              <w:rPr>
                <w:rFonts w:ascii="Times New Roman" w:hAnsi="Times New Roman" w:eastAsia="宋体" w:cs="Times New Roman"/>
                <w:color w:val="auto"/>
                <w:sz w:val="24"/>
                <w:szCs w:val="24"/>
              </w:rPr>
              <w:t>，H</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S的排放量</w:t>
            </w:r>
            <w:r>
              <w:rPr>
                <w:rFonts w:hint="eastAsia" w:ascii="Times New Roman" w:hAnsi="Times New Roman" w:eastAsia="宋体" w:cs="Times New Roman"/>
                <w:color w:val="auto"/>
                <w:sz w:val="24"/>
                <w:szCs w:val="24"/>
                <w:lang w:val="en-US" w:eastAsia="zh-CN"/>
              </w:rPr>
              <w:t>约</w:t>
            </w:r>
            <w:r>
              <w:rPr>
                <w:rFonts w:ascii="Times New Roman" w:hAnsi="Times New Roman" w:eastAsia="宋体" w:cs="Times New Roman"/>
                <w:color w:val="auto"/>
                <w:sz w:val="24"/>
                <w:szCs w:val="24"/>
              </w:rPr>
              <w:t>为</w:t>
            </w:r>
            <w:r>
              <w:rPr>
                <w:rFonts w:ascii="Times New Roman" w:hAnsi="Times New Roman" w:eastAsia="宋体" w:cs="Times New Roman"/>
                <w:bCs/>
                <w:color w:val="auto"/>
                <w:kern w:val="0"/>
                <w:sz w:val="24"/>
                <w:szCs w:val="24"/>
              </w:rPr>
              <w:t>0.0</w:t>
            </w:r>
            <w:r>
              <w:rPr>
                <w:rFonts w:hint="eastAsia" w:ascii="Times New Roman" w:hAnsi="Times New Roman" w:eastAsia="宋体" w:cs="Times New Roman"/>
                <w:bCs/>
                <w:color w:val="auto"/>
                <w:sz w:val="24"/>
                <w:szCs w:val="24"/>
                <w:lang w:val="en-US" w:eastAsia="zh-CN"/>
              </w:rPr>
              <w:t>5</w:t>
            </w:r>
            <w:r>
              <w:rPr>
                <w:rFonts w:ascii="Times New Roman" w:hAnsi="Times New Roman" w:eastAsia="宋体" w:cs="Times New Roman"/>
                <w:color w:val="auto"/>
                <w:sz w:val="24"/>
                <w:szCs w:val="24"/>
              </w:rPr>
              <w:t>t/a，排放浓度为</w:t>
            </w:r>
            <w:r>
              <w:rPr>
                <w:rFonts w:ascii="Times New Roman" w:hAnsi="Times New Roman" w:eastAsia="宋体" w:cs="Times New Roman"/>
                <w:bCs/>
                <w:color w:val="auto"/>
                <w:kern w:val="0"/>
                <w:sz w:val="24"/>
                <w:szCs w:val="24"/>
              </w:rPr>
              <w:t>0</w:t>
            </w:r>
            <w:r>
              <w:rPr>
                <w:rFonts w:hint="eastAsia" w:ascii="Times New Roman" w:hAnsi="Times New Roman" w:eastAsia="宋体" w:cs="Times New Roman"/>
                <w:bCs/>
                <w:color w:val="auto"/>
                <w:kern w:val="0"/>
                <w:sz w:val="24"/>
                <w:szCs w:val="24"/>
                <w:lang w:val="en-US" w:eastAsia="zh-CN"/>
              </w:rPr>
              <w:t>.1944</w:t>
            </w:r>
            <w:r>
              <w:rPr>
                <w:rFonts w:ascii="Times New Roman" w:hAnsi="Times New Roman" w:eastAsia="宋体" w:cs="Times New Roman"/>
                <w:bCs/>
                <w:color w:val="auto"/>
                <w:kern w:val="0"/>
                <w:sz w:val="24"/>
                <w:szCs w:val="24"/>
              </w:rPr>
              <w:t>mg/m³</w:t>
            </w:r>
            <w:r>
              <w:rPr>
                <w:rFonts w:ascii="Times New Roman" w:hAnsi="Times New Roman" w:eastAsia="宋体" w:cs="Times New Roman"/>
                <w:color w:val="auto"/>
                <w:sz w:val="24"/>
                <w:szCs w:val="24"/>
              </w:rPr>
              <w:t>。</w:t>
            </w:r>
            <w:r>
              <w:rPr>
                <w:rFonts w:ascii="Times New Roman" w:hAnsi="Times New Roman" w:eastAsia="宋体" w:cs="Times New Roman"/>
                <w:color w:val="auto"/>
                <w:kern w:val="0"/>
                <w:sz w:val="24"/>
                <w:szCs w:val="24"/>
              </w:rPr>
              <w:t>氨、硫化氢排放满足《恶臭污染物排放标准》(GB 14554-93</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中的相关排放标准。</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 xml:space="preserve">表4-1  </w:t>
            </w:r>
            <w:r>
              <w:rPr>
                <w:rFonts w:hint="eastAsia" w:ascii="Times New Roman" w:hAnsi="Times New Roman" w:eastAsia="宋体"/>
                <w:color w:val="auto"/>
                <w:sz w:val="24"/>
                <w:szCs w:val="24"/>
              </w:rPr>
              <w:t>本项目有组织排放信息表</w:t>
            </w:r>
          </w:p>
          <w:tbl>
            <w:tblPr>
              <w:tblStyle w:val="24"/>
              <w:tblW w:w="85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0"/>
              <w:gridCol w:w="390"/>
              <w:gridCol w:w="351"/>
              <w:gridCol w:w="695"/>
              <w:gridCol w:w="1030"/>
              <w:gridCol w:w="212"/>
              <w:gridCol w:w="1147"/>
              <w:gridCol w:w="717"/>
              <w:gridCol w:w="600"/>
              <w:gridCol w:w="461"/>
              <w:gridCol w:w="1371"/>
              <w:gridCol w:w="721"/>
              <w:gridCol w:w="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 w:type="dxa"/>
                  <w:vMerge w:val="restart"/>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序号</w:t>
                  </w:r>
                </w:p>
              </w:tc>
              <w:tc>
                <w:tcPr>
                  <w:tcW w:w="390" w:type="dxa"/>
                  <w:vMerge w:val="restart"/>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产排污</w:t>
                  </w:r>
                </w:p>
                <w:p>
                  <w:pPr>
                    <w:pStyle w:val="49"/>
                    <w:spacing w:line="240" w:lineRule="auto"/>
                    <w:jc w:val="center"/>
                    <w:rPr>
                      <w:rFonts w:ascii="Times New Roman" w:hAnsi="Times New Roman"/>
                      <w:b/>
                      <w:bCs/>
                      <w:color w:val="auto"/>
                      <w:szCs w:val="21"/>
                    </w:rPr>
                  </w:pPr>
                  <w:r>
                    <w:rPr>
                      <w:rFonts w:ascii="Times New Roman" w:hAnsi="Times New Roman"/>
                      <w:b/>
                      <w:bCs/>
                      <w:color w:val="auto"/>
                      <w:szCs w:val="21"/>
                    </w:rPr>
                    <w:t>环节</w:t>
                  </w:r>
                </w:p>
              </w:tc>
              <w:tc>
                <w:tcPr>
                  <w:tcW w:w="2076" w:type="dxa"/>
                  <w:gridSpan w:val="3"/>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污染物产生</w:t>
                  </w:r>
                </w:p>
              </w:tc>
              <w:tc>
                <w:tcPr>
                  <w:tcW w:w="212" w:type="dxa"/>
                  <w:vMerge w:val="restart"/>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排放形式</w:t>
                  </w:r>
                </w:p>
              </w:tc>
              <w:tc>
                <w:tcPr>
                  <w:tcW w:w="2925" w:type="dxa"/>
                  <w:gridSpan w:val="4"/>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污染防治设施</w:t>
                  </w:r>
                </w:p>
              </w:tc>
              <w:tc>
                <w:tcPr>
                  <w:tcW w:w="2790" w:type="dxa"/>
                  <w:gridSpan w:val="3"/>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 w:type="dxa"/>
                  <w:vMerge w:val="continue"/>
                  <w:tcBorders>
                    <w:tl2br w:val="nil"/>
                    <w:tr2bl w:val="nil"/>
                  </w:tcBorders>
                  <w:vAlign w:val="center"/>
                </w:tcPr>
                <w:p>
                  <w:pPr>
                    <w:pStyle w:val="49"/>
                    <w:spacing w:line="240" w:lineRule="auto"/>
                    <w:jc w:val="center"/>
                    <w:rPr>
                      <w:rFonts w:ascii="Times New Roman" w:hAnsi="Times New Roman"/>
                      <w:b/>
                      <w:bCs/>
                      <w:color w:val="auto"/>
                      <w:szCs w:val="21"/>
                    </w:rPr>
                  </w:pPr>
                </w:p>
              </w:tc>
              <w:tc>
                <w:tcPr>
                  <w:tcW w:w="390" w:type="dxa"/>
                  <w:vMerge w:val="continue"/>
                  <w:tcBorders>
                    <w:tl2br w:val="nil"/>
                    <w:tr2bl w:val="nil"/>
                  </w:tcBorders>
                  <w:vAlign w:val="center"/>
                </w:tcPr>
                <w:p>
                  <w:pPr>
                    <w:pStyle w:val="49"/>
                    <w:spacing w:line="240" w:lineRule="auto"/>
                    <w:jc w:val="center"/>
                    <w:rPr>
                      <w:rFonts w:ascii="Times New Roman" w:hAnsi="Times New Roman"/>
                      <w:b/>
                      <w:bCs/>
                      <w:color w:val="auto"/>
                      <w:szCs w:val="21"/>
                    </w:rPr>
                  </w:pPr>
                </w:p>
              </w:tc>
              <w:tc>
                <w:tcPr>
                  <w:tcW w:w="351" w:type="dxa"/>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污染物种类</w:t>
                  </w:r>
                </w:p>
              </w:tc>
              <w:tc>
                <w:tcPr>
                  <w:tcW w:w="695" w:type="dxa"/>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产生速率（kg/h）</w:t>
                  </w:r>
                </w:p>
              </w:tc>
              <w:tc>
                <w:tcPr>
                  <w:tcW w:w="1030" w:type="dxa"/>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产生量（t/a）</w:t>
                  </w:r>
                </w:p>
              </w:tc>
              <w:tc>
                <w:tcPr>
                  <w:tcW w:w="212" w:type="dxa"/>
                  <w:vMerge w:val="continue"/>
                  <w:tcBorders>
                    <w:tl2br w:val="nil"/>
                    <w:tr2bl w:val="nil"/>
                  </w:tcBorders>
                  <w:vAlign w:val="center"/>
                </w:tcPr>
                <w:p>
                  <w:pPr>
                    <w:pStyle w:val="49"/>
                    <w:spacing w:line="240" w:lineRule="auto"/>
                    <w:jc w:val="center"/>
                    <w:rPr>
                      <w:rFonts w:ascii="Times New Roman" w:hAnsi="Times New Roman"/>
                      <w:b/>
                      <w:bCs/>
                      <w:color w:val="auto"/>
                      <w:szCs w:val="21"/>
                    </w:rPr>
                  </w:pPr>
                </w:p>
              </w:tc>
              <w:tc>
                <w:tcPr>
                  <w:tcW w:w="1147" w:type="dxa"/>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污染防治设施工艺</w:t>
                  </w:r>
                </w:p>
              </w:tc>
              <w:tc>
                <w:tcPr>
                  <w:tcW w:w="717" w:type="dxa"/>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处理能力（m</w:t>
                  </w:r>
                  <w:r>
                    <w:rPr>
                      <w:rFonts w:ascii="Times New Roman" w:hAnsi="Times New Roman"/>
                      <w:b/>
                      <w:bCs/>
                      <w:color w:val="auto"/>
                      <w:szCs w:val="21"/>
                      <w:vertAlign w:val="superscript"/>
                    </w:rPr>
                    <w:t>3</w:t>
                  </w:r>
                  <w:r>
                    <w:rPr>
                      <w:rFonts w:ascii="Times New Roman" w:hAnsi="Times New Roman"/>
                      <w:b/>
                      <w:bCs/>
                      <w:color w:val="auto"/>
                      <w:szCs w:val="21"/>
                    </w:rPr>
                    <w:t>/h）</w:t>
                  </w:r>
                </w:p>
              </w:tc>
              <w:tc>
                <w:tcPr>
                  <w:tcW w:w="600" w:type="dxa"/>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治理工艺去除率（%）</w:t>
                  </w:r>
                </w:p>
              </w:tc>
              <w:tc>
                <w:tcPr>
                  <w:tcW w:w="461" w:type="dxa"/>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是否为可行技术</w:t>
                  </w:r>
                </w:p>
              </w:tc>
              <w:tc>
                <w:tcPr>
                  <w:tcW w:w="1371" w:type="dxa"/>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排放速率（kg/h）</w:t>
                  </w:r>
                </w:p>
              </w:tc>
              <w:tc>
                <w:tcPr>
                  <w:tcW w:w="721" w:type="dxa"/>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排放量（t/a）</w:t>
                  </w:r>
                </w:p>
              </w:tc>
              <w:tc>
                <w:tcPr>
                  <w:tcW w:w="698" w:type="dxa"/>
                  <w:tcBorders>
                    <w:tl2br w:val="nil"/>
                    <w:tr2bl w:val="nil"/>
                  </w:tcBorders>
                  <w:vAlign w:val="center"/>
                </w:tcPr>
                <w:p>
                  <w:pPr>
                    <w:pStyle w:val="49"/>
                    <w:spacing w:line="240" w:lineRule="auto"/>
                    <w:jc w:val="center"/>
                    <w:rPr>
                      <w:rFonts w:ascii="Times New Roman" w:hAnsi="Times New Roman"/>
                      <w:b/>
                      <w:bCs/>
                      <w:color w:val="auto"/>
                      <w:szCs w:val="21"/>
                    </w:rPr>
                  </w:pPr>
                  <w:r>
                    <w:rPr>
                      <w:rFonts w:ascii="Times New Roman" w:hAnsi="Times New Roman"/>
                      <w:b/>
                      <w:bCs/>
                      <w:color w:val="auto"/>
                      <w:szCs w:val="21"/>
                    </w:rPr>
                    <w:t>排放时间（h）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200" w:type="dxa"/>
                  <w:vMerge w:val="restart"/>
                  <w:tcBorders>
                    <w:tl2br w:val="nil"/>
                    <w:tr2bl w:val="nil"/>
                  </w:tcBorders>
                  <w:vAlign w:val="center"/>
                </w:tcPr>
                <w:p>
                  <w:pPr>
                    <w:pStyle w:val="49"/>
                    <w:spacing w:line="240" w:lineRule="auto"/>
                    <w:jc w:val="center"/>
                    <w:rPr>
                      <w:rFonts w:ascii="Times New Roman" w:hAnsi="Times New Roman"/>
                      <w:color w:val="auto"/>
                      <w:szCs w:val="21"/>
                    </w:rPr>
                  </w:pPr>
                  <w:r>
                    <w:rPr>
                      <w:rFonts w:ascii="Times New Roman" w:hAnsi="Times New Roman"/>
                      <w:color w:val="auto"/>
                      <w:szCs w:val="21"/>
                    </w:rPr>
                    <w:t>1</w:t>
                  </w:r>
                </w:p>
              </w:tc>
              <w:tc>
                <w:tcPr>
                  <w:tcW w:w="390" w:type="dxa"/>
                  <w:vMerge w:val="restart"/>
                  <w:tcBorders>
                    <w:tl2br w:val="nil"/>
                    <w:tr2bl w:val="nil"/>
                  </w:tcBorders>
                  <w:vAlign w:val="center"/>
                </w:tcPr>
                <w:p>
                  <w:pPr>
                    <w:pStyle w:val="49"/>
                    <w:spacing w:line="240" w:lineRule="auto"/>
                    <w:jc w:val="center"/>
                    <w:rPr>
                      <w:rFonts w:ascii="Times New Roman" w:hAnsi="Times New Roman"/>
                      <w:color w:val="auto"/>
                      <w:szCs w:val="21"/>
                    </w:rPr>
                  </w:pPr>
                  <w:r>
                    <w:rPr>
                      <w:rFonts w:ascii="Times New Roman" w:hAnsi="Times New Roman"/>
                      <w:color w:val="auto"/>
                      <w:szCs w:val="21"/>
                    </w:rPr>
                    <w:t>废水处理设施</w:t>
                  </w:r>
                </w:p>
              </w:tc>
              <w:tc>
                <w:tcPr>
                  <w:tcW w:w="351" w:type="dxa"/>
                  <w:tcBorders>
                    <w:tl2br w:val="nil"/>
                    <w:tr2bl w:val="nil"/>
                  </w:tcBorders>
                  <w:vAlign w:val="center"/>
                </w:tcPr>
                <w:p>
                  <w:pPr>
                    <w:spacing w:line="240"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氨</w:t>
                  </w:r>
                </w:p>
              </w:tc>
              <w:tc>
                <w:tcPr>
                  <w:tcW w:w="695" w:type="dxa"/>
                  <w:tcBorders>
                    <w:tl2br w:val="nil"/>
                    <w:tr2bl w:val="nil"/>
                  </w:tcBorders>
                  <w:shd w:val="clear" w:color="auto" w:fill="auto"/>
                  <w:vAlign w:val="center"/>
                </w:tcPr>
                <w:p>
                  <w:pPr>
                    <w:pStyle w:val="49"/>
                    <w:spacing w:line="240" w:lineRule="auto"/>
                    <w:jc w:val="center"/>
                    <w:rPr>
                      <w:rFonts w:ascii="Times New Roman" w:hAnsi="Times New Roman"/>
                      <w:color w:val="auto"/>
                      <w:szCs w:val="21"/>
                    </w:rPr>
                  </w:pPr>
                  <w:r>
                    <w:rPr>
                      <w:rFonts w:ascii="Times New Roman" w:hAnsi="Times New Roman"/>
                      <w:color w:val="auto"/>
                      <w:szCs w:val="21"/>
                    </w:rPr>
                    <w:t>0.</w:t>
                  </w:r>
                  <w:r>
                    <w:rPr>
                      <w:rFonts w:hint="eastAsia" w:ascii="Times New Roman" w:hAnsi="Times New Roman"/>
                      <w:color w:val="auto"/>
                      <w:szCs w:val="21"/>
                      <w:lang w:val="en-US" w:eastAsia="zh-CN"/>
                    </w:rPr>
                    <w:t>558</w:t>
                  </w:r>
                  <w:r>
                    <w:rPr>
                      <w:rFonts w:ascii="Times New Roman" w:hAnsi="Times New Roman"/>
                      <w:color w:val="auto"/>
                      <w:szCs w:val="21"/>
                    </w:rPr>
                    <w:t xml:space="preserve"> </w:t>
                  </w:r>
                </w:p>
              </w:tc>
              <w:tc>
                <w:tcPr>
                  <w:tcW w:w="1030" w:type="dxa"/>
                  <w:tcBorders>
                    <w:tl2br w:val="nil"/>
                    <w:tr2bl w:val="nil"/>
                  </w:tcBorders>
                  <w:shd w:val="clear" w:color="auto" w:fill="auto"/>
                  <w:vAlign w:val="center"/>
                </w:tcPr>
                <w:p>
                  <w:pPr>
                    <w:pStyle w:val="49"/>
                    <w:spacing w:line="240" w:lineRule="auto"/>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4.89</w:t>
                  </w:r>
                </w:p>
              </w:tc>
              <w:tc>
                <w:tcPr>
                  <w:tcW w:w="212" w:type="dxa"/>
                  <w:vMerge w:val="restart"/>
                  <w:tcBorders>
                    <w:tl2br w:val="nil"/>
                    <w:tr2bl w:val="nil"/>
                  </w:tcBorders>
                  <w:vAlign w:val="center"/>
                </w:tcPr>
                <w:p>
                  <w:pPr>
                    <w:pStyle w:val="49"/>
                    <w:spacing w:line="240" w:lineRule="auto"/>
                    <w:jc w:val="center"/>
                    <w:rPr>
                      <w:rFonts w:ascii="Times New Roman" w:hAnsi="Times New Roman"/>
                      <w:color w:val="auto"/>
                      <w:szCs w:val="21"/>
                    </w:rPr>
                  </w:pPr>
                  <w:r>
                    <w:rPr>
                      <w:rFonts w:ascii="Times New Roman" w:hAnsi="Times New Roman"/>
                      <w:color w:val="auto"/>
                      <w:szCs w:val="21"/>
                    </w:rPr>
                    <w:t>有组织</w:t>
                  </w:r>
                </w:p>
              </w:tc>
              <w:tc>
                <w:tcPr>
                  <w:tcW w:w="1147" w:type="dxa"/>
                  <w:vMerge w:val="restart"/>
                  <w:tcBorders>
                    <w:tl2br w:val="nil"/>
                    <w:tr2bl w:val="nil"/>
                  </w:tcBorders>
                  <w:vAlign w:val="center"/>
                </w:tcPr>
                <w:p>
                  <w:pPr>
                    <w:pStyle w:val="49"/>
                    <w:spacing w:line="240" w:lineRule="auto"/>
                    <w:jc w:val="center"/>
                    <w:rPr>
                      <w:rFonts w:ascii="Times New Roman" w:hAnsi="Times New Roman"/>
                      <w:color w:val="auto"/>
                      <w:szCs w:val="21"/>
                    </w:rPr>
                  </w:pPr>
                  <w:r>
                    <w:rPr>
                      <w:rFonts w:ascii="Times New Roman" w:hAnsi="Times New Roman"/>
                      <w:color w:val="auto"/>
                      <w:szCs w:val="21"/>
                    </w:rPr>
                    <w:t>废气由管道收集后采用光氧活性炭一体机（UV光解+活性炭）吸附分别后经15m高的排气筒排放</w:t>
                  </w:r>
                </w:p>
              </w:tc>
              <w:tc>
                <w:tcPr>
                  <w:tcW w:w="717" w:type="dxa"/>
                  <w:vMerge w:val="restart"/>
                  <w:tcBorders>
                    <w:tl2br w:val="nil"/>
                    <w:tr2bl w:val="nil"/>
                  </w:tcBorders>
                  <w:vAlign w:val="center"/>
                </w:tcPr>
                <w:p>
                  <w:pPr>
                    <w:pStyle w:val="49"/>
                    <w:spacing w:line="240" w:lineRule="auto"/>
                    <w:jc w:val="center"/>
                    <w:rPr>
                      <w:rFonts w:ascii="Times New Roman" w:hAnsi="Times New Roman"/>
                      <w:color w:val="auto"/>
                      <w:szCs w:val="21"/>
                    </w:rPr>
                  </w:pPr>
                  <w:r>
                    <w:rPr>
                      <w:rFonts w:hint="eastAsia" w:ascii="Times New Roman" w:hAnsi="Times New Roman"/>
                      <w:color w:val="auto"/>
                      <w:szCs w:val="21"/>
                      <w:lang w:val="en-US" w:eastAsia="zh-CN"/>
                    </w:rPr>
                    <w:t>3</w:t>
                  </w:r>
                  <w:r>
                    <w:rPr>
                      <w:rFonts w:ascii="Times New Roman" w:hAnsi="Times New Roman"/>
                      <w:color w:val="auto"/>
                      <w:szCs w:val="21"/>
                    </w:rPr>
                    <w:t>0000</w:t>
                  </w:r>
                </w:p>
              </w:tc>
              <w:tc>
                <w:tcPr>
                  <w:tcW w:w="600" w:type="dxa"/>
                  <w:vMerge w:val="restart"/>
                  <w:tcBorders>
                    <w:tl2br w:val="nil"/>
                    <w:tr2bl w:val="nil"/>
                  </w:tcBorders>
                  <w:vAlign w:val="center"/>
                </w:tcPr>
                <w:p>
                  <w:pPr>
                    <w:pStyle w:val="49"/>
                    <w:spacing w:line="240" w:lineRule="auto"/>
                    <w:jc w:val="center"/>
                    <w:rPr>
                      <w:rFonts w:ascii="Times New Roman" w:hAnsi="Times New Roman"/>
                      <w:color w:val="auto"/>
                      <w:szCs w:val="21"/>
                    </w:rPr>
                  </w:pPr>
                  <w:r>
                    <w:rPr>
                      <w:rFonts w:ascii="Times New Roman" w:hAnsi="Times New Roman"/>
                      <w:color w:val="auto"/>
                      <w:szCs w:val="21"/>
                    </w:rPr>
                    <w:t>70</w:t>
                  </w:r>
                </w:p>
              </w:tc>
              <w:tc>
                <w:tcPr>
                  <w:tcW w:w="461" w:type="dxa"/>
                  <w:vMerge w:val="restart"/>
                  <w:tcBorders>
                    <w:tl2br w:val="nil"/>
                    <w:tr2bl w:val="nil"/>
                  </w:tcBorders>
                  <w:vAlign w:val="center"/>
                </w:tcPr>
                <w:p>
                  <w:pPr>
                    <w:pStyle w:val="49"/>
                    <w:spacing w:line="240" w:lineRule="auto"/>
                    <w:jc w:val="center"/>
                    <w:rPr>
                      <w:rFonts w:ascii="Times New Roman" w:hAnsi="Times New Roman"/>
                      <w:color w:val="auto"/>
                      <w:szCs w:val="21"/>
                    </w:rPr>
                  </w:pPr>
                  <w:r>
                    <w:rPr>
                      <w:rFonts w:ascii="Times New Roman" w:hAnsi="Times New Roman"/>
                      <w:color w:val="auto"/>
                      <w:szCs w:val="21"/>
                    </w:rPr>
                    <w:t>是</w:t>
                  </w:r>
                </w:p>
              </w:tc>
              <w:tc>
                <w:tcPr>
                  <w:tcW w:w="1371" w:type="dxa"/>
                  <w:tcBorders>
                    <w:tl2br w:val="nil"/>
                    <w:tr2bl w:val="nil"/>
                  </w:tcBorders>
                  <w:vAlign w:val="center"/>
                </w:tcPr>
                <w:p>
                  <w:pPr>
                    <w:pStyle w:val="49"/>
                    <w:spacing w:line="240" w:lineRule="auto"/>
                    <w:jc w:val="center"/>
                    <w:rPr>
                      <w:rFonts w:ascii="Times New Roman" w:hAnsi="Times New Roman"/>
                      <w:color w:val="auto"/>
                      <w:szCs w:val="21"/>
                    </w:rPr>
                  </w:pPr>
                  <w:r>
                    <w:rPr>
                      <w:rFonts w:ascii="Times New Roman" w:hAnsi="Times New Roman"/>
                      <w:color w:val="auto"/>
                      <w:szCs w:val="21"/>
                    </w:rPr>
                    <w:t>0.</w:t>
                  </w:r>
                  <w:r>
                    <w:rPr>
                      <w:rFonts w:hint="eastAsia" w:ascii="Times New Roman" w:hAnsi="Times New Roman"/>
                      <w:color w:val="auto"/>
                      <w:szCs w:val="21"/>
                      <w:lang w:val="en-US" w:eastAsia="zh-CN"/>
                    </w:rPr>
                    <w:t>15066</w:t>
                  </w:r>
                </w:p>
              </w:tc>
              <w:tc>
                <w:tcPr>
                  <w:tcW w:w="721" w:type="dxa"/>
                  <w:tcBorders>
                    <w:tl2br w:val="nil"/>
                    <w:tr2bl w:val="nil"/>
                  </w:tcBorders>
                  <w:vAlign w:val="center"/>
                </w:tcPr>
                <w:p>
                  <w:pPr>
                    <w:pStyle w:val="49"/>
                    <w:spacing w:line="240" w:lineRule="auto"/>
                    <w:jc w:val="center"/>
                    <w:rPr>
                      <w:rFonts w:ascii="Times New Roman" w:hAnsi="Times New Roman"/>
                      <w:color w:val="auto"/>
                      <w:szCs w:val="21"/>
                    </w:rPr>
                  </w:pPr>
                  <w:r>
                    <w:rPr>
                      <w:rFonts w:hint="eastAsia" w:ascii="Times New Roman" w:hAnsi="Times New Roman"/>
                      <w:color w:val="auto"/>
                      <w:szCs w:val="21"/>
                      <w:lang w:val="en-US" w:eastAsia="zh-CN"/>
                    </w:rPr>
                    <w:t>1.32</w:t>
                  </w:r>
                </w:p>
              </w:tc>
              <w:tc>
                <w:tcPr>
                  <w:tcW w:w="698" w:type="dxa"/>
                  <w:tcBorders>
                    <w:tl2br w:val="nil"/>
                    <w:tr2bl w:val="nil"/>
                  </w:tcBorders>
                  <w:vAlign w:val="center"/>
                </w:tcPr>
                <w:p>
                  <w:pPr>
                    <w:spacing w:line="240" w:lineRule="auto"/>
                    <w:jc w:val="center"/>
                    <w:rPr>
                      <w:rFonts w:ascii="Times New Roman" w:hAnsi="Times New Roman" w:eastAsia="宋体" w:cs="Times New Roman"/>
                      <w:color w:val="auto"/>
                      <w:szCs w:val="21"/>
                    </w:rPr>
                  </w:pPr>
                  <w:r>
                    <w:rPr>
                      <w:rFonts w:ascii="Times New Roman" w:hAnsi="Times New Roman" w:eastAsia="宋体" w:cs="Times New Roman"/>
                      <w:color w:val="auto"/>
                      <w:szCs w:val="21"/>
                    </w:rPr>
                    <w:t>8760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200" w:type="dxa"/>
                  <w:vMerge w:val="continue"/>
                  <w:tcBorders>
                    <w:tl2br w:val="nil"/>
                    <w:tr2bl w:val="nil"/>
                  </w:tcBorders>
                  <w:vAlign w:val="center"/>
                </w:tcPr>
                <w:p>
                  <w:pPr>
                    <w:pStyle w:val="49"/>
                    <w:spacing w:line="240" w:lineRule="auto"/>
                    <w:jc w:val="center"/>
                    <w:rPr>
                      <w:rFonts w:ascii="Times New Roman" w:hAnsi="Times New Roman"/>
                      <w:color w:val="auto"/>
                      <w:szCs w:val="21"/>
                    </w:rPr>
                  </w:pPr>
                </w:p>
              </w:tc>
              <w:tc>
                <w:tcPr>
                  <w:tcW w:w="390" w:type="dxa"/>
                  <w:vMerge w:val="continue"/>
                  <w:tcBorders>
                    <w:tl2br w:val="nil"/>
                    <w:tr2bl w:val="nil"/>
                  </w:tcBorders>
                  <w:vAlign w:val="center"/>
                </w:tcPr>
                <w:p>
                  <w:pPr>
                    <w:pStyle w:val="49"/>
                    <w:spacing w:line="240" w:lineRule="auto"/>
                    <w:jc w:val="center"/>
                    <w:rPr>
                      <w:rFonts w:ascii="Times New Roman" w:hAnsi="Times New Roman"/>
                      <w:color w:val="auto"/>
                      <w:szCs w:val="21"/>
                    </w:rPr>
                  </w:pPr>
                </w:p>
              </w:tc>
              <w:tc>
                <w:tcPr>
                  <w:tcW w:w="351" w:type="dxa"/>
                  <w:tcBorders>
                    <w:tl2br w:val="nil"/>
                    <w:tr2bl w:val="nil"/>
                  </w:tcBorders>
                  <w:vAlign w:val="center"/>
                </w:tcPr>
                <w:p>
                  <w:pPr>
                    <w:spacing w:line="240" w:lineRule="auto"/>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硫化氢</w:t>
                  </w:r>
                </w:p>
              </w:tc>
              <w:tc>
                <w:tcPr>
                  <w:tcW w:w="695" w:type="dxa"/>
                  <w:tcBorders>
                    <w:tl2br w:val="nil"/>
                    <w:tr2bl w:val="nil"/>
                  </w:tcBorders>
                  <w:shd w:val="clear" w:color="auto" w:fill="auto"/>
                  <w:vAlign w:val="center"/>
                </w:tcPr>
                <w:p>
                  <w:pPr>
                    <w:pStyle w:val="49"/>
                    <w:spacing w:line="240" w:lineRule="auto"/>
                    <w:jc w:val="center"/>
                    <w:rPr>
                      <w:rFonts w:ascii="Times New Roman" w:hAnsi="Times New Roman"/>
                      <w:color w:val="auto"/>
                      <w:szCs w:val="21"/>
                    </w:rPr>
                  </w:pPr>
                  <w:r>
                    <w:rPr>
                      <w:rFonts w:ascii="Times New Roman" w:hAnsi="Times New Roman"/>
                      <w:color w:val="auto"/>
                      <w:szCs w:val="21"/>
                    </w:rPr>
                    <w:t>0.0</w:t>
                  </w:r>
                  <w:r>
                    <w:rPr>
                      <w:rFonts w:hint="eastAsia" w:ascii="Times New Roman" w:hAnsi="Times New Roman"/>
                      <w:color w:val="auto"/>
                      <w:szCs w:val="21"/>
                      <w:lang w:val="en-US" w:eastAsia="zh-CN"/>
                    </w:rPr>
                    <w:t>216</w:t>
                  </w:r>
                  <w:r>
                    <w:rPr>
                      <w:rFonts w:ascii="Times New Roman" w:hAnsi="Times New Roman"/>
                      <w:color w:val="auto"/>
                      <w:szCs w:val="21"/>
                    </w:rPr>
                    <w:t xml:space="preserve"> </w:t>
                  </w:r>
                </w:p>
              </w:tc>
              <w:tc>
                <w:tcPr>
                  <w:tcW w:w="1030" w:type="dxa"/>
                  <w:tcBorders>
                    <w:tl2br w:val="nil"/>
                    <w:tr2bl w:val="nil"/>
                  </w:tcBorders>
                  <w:shd w:val="clear" w:color="auto" w:fill="auto"/>
                  <w:vAlign w:val="center"/>
                </w:tcPr>
                <w:p>
                  <w:pPr>
                    <w:pStyle w:val="49"/>
                    <w:spacing w:line="240" w:lineRule="auto"/>
                    <w:jc w:val="center"/>
                    <w:rPr>
                      <w:rFonts w:hint="default" w:ascii="Times New Roman" w:hAnsi="Times New Roman" w:eastAsia="宋体"/>
                      <w:color w:val="auto"/>
                      <w:szCs w:val="21"/>
                      <w:lang w:val="en-US" w:eastAsia="zh-CN"/>
                    </w:rPr>
                  </w:pPr>
                  <w:r>
                    <w:rPr>
                      <w:rFonts w:ascii="Times New Roman" w:hAnsi="Times New Roman"/>
                      <w:color w:val="auto"/>
                      <w:szCs w:val="21"/>
                    </w:rPr>
                    <w:t>0.</w:t>
                  </w:r>
                  <w:r>
                    <w:rPr>
                      <w:rFonts w:hint="eastAsia" w:ascii="Times New Roman" w:hAnsi="Times New Roman"/>
                      <w:color w:val="auto"/>
                      <w:szCs w:val="21"/>
                      <w:lang w:val="en-US" w:eastAsia="zh-CN"/>
                    </w:rPr>
                    <w:t>189</w:t>
                  </w:r>
                </w:p>
              </w:tc>
              <w:tc>
                <w:tcPr>
                  <w:tcW w:w="212" w:type="dxa"/>
                  <w:vMerge w:val="continue"/>
                  <w:tcBorders>
                    <w:tl2br w:val="nil"/>
                    <w:tr2bl w:val="nil"/>
                  </w:tcBorders>
                  <w:vAlign w:val="center"/>
                </w:tcPr>
                <w:p>
                  <w:pPr>
                    <w:pStyle w:val="49"/>
                    <w:spacing w:line="240" w:lineRule="auto"/>
                    <w:jc w:val="center"/>
                    <w:rPr>
                      <w:rFonts w:ascii="Times New Roman" w:hAnsi="Times New Roman"/>
                      <w:color w:val="auto"/>
                      <w:szCs w:val="21"/>
                    </w:rPr>
                  </w:pPr>
                </w:p>
              </w:tc>
              <w:tc>
                <w:tcPr>
                  <w:tcW w:w="1147" w:type="dxa"/>
                  <w:vMerge w:val="continue"/>
                  <w:tcBorders>
                    <w:tl2br w:val="nil"/>
                    <w:tr2bl w:val="nil"/>
                  </w:tcBorders>
                  <w:vAlign w:val="center"/>
                </w:tcPr>
                <w:p>
                  <w:pPr>
                    <w:pStyle w:val="49"/>
                    <w:spacing w:line="240" w:lineRule="auto"/>
                    <w:jc w:val="center"/>
                    <w:rPr>
                      <w:rFonts w:ascii="Times New Roman" w:hAnsi="Times New Roman"/>
                      <w:color w:val="auto"/>
                      <w:szCs w:val="21"/>
                    </w:rPr>
                  </w:pPr>
                </w:p>
              </w:tc>
              <w:tc>
                <w:tcPr>
                  <w:tcW w:w="717" w:type="dxa"/>
                  <w:vMerge w:val="continue"/>
                  <w:tcBorders>
                    <w:tl2br w:val="nil"/>
                    <w:tr2bl w:val="nil"/>
                  </w:tcBorders>
                  <w:vAlign w:val="center"/>
                </w:tcPr>
                <w:p>
                  <w:pPr>
                    <w:pStyle w:val="49"/>
                    <w:spacing w:line="240" w:lineRule="auto"/>
                    <w:jc w:val="center"/>
                    <w:rPr>
                      <w:rFonts w:ascii="Times New Roman" w:hAnsi="Times New Roman"/>
                      <w:color w:val="auto"/>
                      <w:szCs w:val="21"/>
                    </w:rPr>
                  </w:pPr>
                </w:p>
              </w:tc>
              <w:tc>
                <w:tcPr>
                  <w:tcW w:w="600" w:type="dxa"/>
                  <w:vMerge w:val="continue"/>
                  <w:tcBorders>
                    <w:tl2br w:val="nil"/>
                    <w:tr2bl w:val="nil"/>
                  </w:tcBorders>
                  <w:vAlign w:val="center"/>
                </w:tcPr>
                <w:p>
                  <w:pPr>
                    <w:pStyle w:val="49"/>
                    <w:spacing w:line="240" w:lineRule="auto"/>
                    <w:jc w:val="center"/>
                    <w:rPr>
                      <w:rFonts w:ascii="Times New Roman" w:hAnsi="Times New Roman"/>
                      <w:color w:val="auto"/>
                      <w:szCs w:val="21"/>
                    </w:rPr>
                  </w:pPr>
                </w:p>
              </w:tc>
              <w:tc>
                <w:tcPr>
                  <w:tcW w:w="461" w:type="dxa"/>
                  <w:vMerge w:val="continue"/>
                  <w:tcBorders>
                    <w:tl2br w:val="nil"/>
                    <w:tr2bl w:val="nil"/>
                  </w:tcBorders>
                  <w:vAlign w:val="center"/>
                </w:tcPr>
                <w:p>
                  <w:pPr>
                    <w:pStyle w:val="49"/>
                    <w:spacing w:line="240" w:lineRule="auto"/>
                    <w:jc w:val="center"/>
                    <w:rPr>
                      <w:rFonts w:ascii="Times New Roman" w:hAnsi="Times New Roman"/>
                      <w:color w:val="auto"/>
                      <w:szCs w:val="21"/>
                    </w:rPr>
                  </w:pPr>
                </w:p>
              </w:tc>
              <w:tc>
                <w:tcPr>
                  <w:tcW w:w="1371" w:type="dxa"/>
                  <w:tcBorders>
                    <w:tl2br w:val="nil"/>
                    <w:tr2bl w:val="nil"/>
                  </w:tcBorders>
                  <w:vAlign w:val="center"/>
                </w:tcPr>
                <w:p>
                  <w:pPr>
                    <w:pStyle w:val="49"/>
                    <w:spacing w:line="240" w:lineRule="auto"/>
                    <w:jc w:val="center"/>
                    <w:rPr>
                      <w:rFonts w:ascii="Times New Roman" w:hAnsi="Times New Roman"/>
                      <w:color w:val="auto"/>
                      <w:szCs w:val="21"/>
                    </w:rPr>
                  </w:pPr>
                  <w:r>
                    <w:rPr>
                      <w:rFonts w:ascii="Times New Roman" w:hAnsi="Times New Roman"/>
                      <w:color w:val="auto"/>
                      <w:szCs w:val="21"/>
                    </w:rPr>
                    <w:t>0.00</w:t>
                  </w:r>
                  <w:r>
                    <w:rPr>
                      <w:rFonts w:hint="eastAsia" w:ascii="Times New Roman" w:hAnsi="Times New Roman"/>
                      <w:color w:val="auto"/>
                      <w:szCs w:val="21"/>
                      <w:lang w:val="en-US" w:eastAsia="zh-CN"/>
                    </w:rPr>
                    <w:t>5832</w:t>
                  </w:r>
                </w:p>
              </w:tc>
              <w:tc>
                <w:tcPr>
                  <w:tcW w:w="721" w:type="dxa"/>
                  <w:tcBorders>
                    <w:tl2br w:val="nil"/>
                    <w:tr2bl w:val="nil"/>
                  </w:tcBorders>
                  <w:vAlign w:val="center"/>
                </w:tcPr>
                <w:p>
                  <w:pPr>
                    <w:pStyle w:val="49"/>
                    <w:spacing w:line="240" w:lineRule="auto"/>
                    <w:jc w:val="center"/>
                    <w:rPr>
                      <w:rFonts w:ascii="Times New Roman" w:hAnsi="Times New Roman"/>
                      <w:color w:val="auto"/>
                      <w:szCs w:val="21"/>
                    </w:rPr>
                  </w:pPr>
                  <w:r>
                    <w:rPr>
                      <w:rFonts w:ascii="Times New Roman" w:hAnsi="Times New Roman"/>
                      <w:color w:val="auto"/>
                      <w:szCs w:val="21"/>
                    </w:rPr>
                    <w:t>0.0</w:t>
                  </w:r>
                  <w:r>
                    <w:rPr>
                      <w:rFonts w:hint="eastAsia" w:ascii="Times New Roman" w:hAnsi="Times New Roman"/>
                      <w:color w:val="auto"/>
                      <w:szCs w:val="21"/>
                      <w:lang w:val="en-US" w:eastAsia="zh-CN"/>
                    </w:rPr>
                    <w:t>5</w:t>
                  </w:r>
                </w:p>
              </w:tc>
              <w:tc>
                <w:tcPr>
                  <w:tcW w:w="698" w:type="dxa"/>
                  <w:tcBorders>
                    <w:tl2br w:val="nil"/>
                    <w:tr2bl w:val="nil"/>
                  </w:tcBorders>
                  <w:vAlign w:val="center"/>
                </w:tcPr>
                <w:p>
                  <w:pPr>
                    <w:spacing w:line="240" w:lineRule="auto"/>
                    <w:jc w:val="center"/>
                    <w:rPr>
                      <w:rFonts w:ascii="Times New Roman" w:hAnsi="Times New Roman" w:eastAsia="宋体" w:cs="Times New Roman"/>
                      <w:color w:val="auto"/>
                      <w:szCs w:val="21"/>
                    </w:rPr>
                  </w:pPr>
                  <w:r>
                    <w:rPr>
                      <w:rFonts w:ascii="Times New Roman" w:hAnsi="Times New Roman" w:eastAsia="宋体" w:cs="Times New Roman"/>
                      <w:color w:val="auto"/>
                      <w:szCs w:val="21"/>
                    </w:rPr>
                    <w:t>8760</w:t>
                  </w:r>
                </w:p>
              </w:tc>
            </w:tr>
          </w:tbl>
          <w:p>
            <w:pPr>
              <w:pStyle w:val="35"/>
              <w:spacing w:line="240" w:lineRule="auto"/>
              <w:rPr>
                <w:rFonts w:hint="eastAsia" w:ascii="Times New Roman" w:hAnsi="Times New Roman" w:eastAsia="宋体"/>
                <w:color w:val="auto"/>
                <w:sz w:val="24"/>
                <w:szCs w:val="24"/>
              </w:rPr>
            </w:pPr>
          </w:p>
          <w:p>
            <w:pPr>
              <w:pStyle w:val="35"/>
              <w:spacing w:line="240" w:lineRule="auto"/>
              <w:rPr>
                <w:rFonts w:hint="eastAsia" w:ascii="Times New Roman" w:hAnsi="Times New Roman" w:eastAsia="宋体"/>
                <w:color w:val="auto"/>
                <w:sz w:val="24"/>
                <w:szCs w:val="24"/>
              </w:rPr>
            </w:pPr>
          </w:p>
          <w:p>
            <w:pPr>
              <w:pStyle w:val="35"/>
              <w:spacing w:line="240" w:lineRule="auto"/>
              <w:rPr>
                <w:rFonts w:ascii="Times New Roman" w:hAnsi="Times New Roman" w:eastAsia="宋体"/>
                <w:color w:val="auto"/>
                <w:sz w:val="24"/>
                <w:szCs w:val="24"/>
              </w:rPr>
            </w:pPr>
            <w:r>
              <w:rPr>
                <w:rFonts w:hint="eastAsia" w:ascii="Times New Roman" w:hAnsi="Times New Roman" w:eastAsia="宋体"/>
                <w:color w:val="auto"/>
                <w:sz w:val="24"/>
                <w:szCs w:val="24"/>
              </w:rPr>
              <w:t>表4</w:t>
            </w:r>
            <w:r>
              <w:rPr>
                <w:rFonts w:ascii="Times New Roman" w:hAnsi="Times New Roman" w:eastAsia="宋体"/>
                <w:color w:val="auto"/>
                <w:sz w:val="24"/>
                <w:szCs w:val="24"/>
              </w:rPr>
              <w:t xml:space="preserve">-2  </w:t>
            </w:r>
            <w:r>
              <w:rPr>
                <w:rFonts w:hint="eastAsia" w:ascii="Times New Roman" w:hAnsi="Times New Roman" w:eastAsia="宋体"/>
                <w:color w:val="auto"/>
                <w:sz w:val="24"/>
                <w:szCs w:val="24"/>
              </w:rPr>
              <w:t>本项目无组织排放信息表</w:t>
            </w:r>
          </w:p>
          <w:tbl>
            <w:tblPr>
              <w:tblStyle w:val="24"/>
              <w:tblW w:w="85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
              <w:gridCol w:w="777"/>
              <w:gridCol w:w="643"/>
              <w:gridCol w:w="1836"/>
              <w:gridCol w:w="2789"/>
              <w:gridCol w:w="1235"/>
              <w:gridCol w:w="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dxa"/>
                  <w:vMerge w:val="restart"/>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序号</w:t>
                  </w:r>
                </w:p>
              </w:tc>
              <w:tc>
                <w:tcPr>
                  <w:tcW w:w="777" w:type="dxa"/>
                  <w:vMerge w:val="restart"/>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产污环节</w:t>
                  </w:r>
                </w:p>
              </w:tc>
              <w:tc>
                <w:tcPr>
                  <w:tcW w:w="643" w:type="dxa"/>
                  <w:vMerge w:val="restart"/>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污染物</w:t>
                  </w:r>
                </w:p>
              </w:tc>
              <w:tc>
                <w:tcPr>
                  <w:tcW w:w="1836" w:type="dxa"/>
                  <w:vMerge w:val="restart"/>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主要污染防治措施</w:t>
                  </w:r>
                </w:p>
              </w:tc>
              <w:tc>
                <w:tcPr>
                  <w:tcW w:w="4024" w:type="dxa"/>
                  <w:gridSpan w:val="2"/>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国家或地方污染物排放标准</w:t>
                  </w:r>
                </w:p>
              </w:tc>
              <w:tc>
                <w:tcPr>
                  <w:tcW w:w="880" w:type="dxa"/>
                  <w:vMerge w:val="restart"/>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年排放量</w:t>
                  </w:r>
                </w:p>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dxa"/>
                  <w:vMerge w:val="continue"/>
                  <w:tcBorders>
                    <w:tl2br w:val="nil"/>
                    <w:tr2bl w:val="nil"/>
                  </w:tcBorders>
                  <w:vAlign w:val="center"/>
                </w:tcPr>
                <w:p>
                  <w:pPr>
                    <w:widowControl/>
                    <w:jc w:val="left"/>
                    <w:rPr>
                      <w:rFonts w:ascii="Times New Roman" w:hAnsi="Times New Roman" w:eastAsia="宋体" w:cs="Times New Roman"/>
                      <w:b/>
                      <w:bCs/>
                      <w:color w:val="auto"/>
                      <w:szCs w:val="21"/>
                    </w:rPr>
                  </w:pPr>
                </w:p>
              </w:tc>
              <w:tc>
                <w:tcPr>
                  <w:tcW w:w="777" w:type="dxa"/>
                  <w:vMerge w:val="continue"/>
                  <w:tcBorders>
                    <w:tl2br w:val="nil"/>
                    <w:tr2bl w:val="nil"/>
                  </w:tcBorders>
                  <w:vAlign w:val="center"/>
                </w:tcPr>
                <w:p>
                  <w:pPr>
                    <w:widowControl/>
                    <w:jc w:val="left"/>
                    <w:rPr>
                      <w:rFonts w:ascii="Times New Roman" w:hAnsi="Times New Roman" w:eastAsia="宋体" w:cs="Times New Roman"/>
                      <w:b/>
                      <w:bCs/>
                      <w:color w:val="auto"/>
                      <w:szCs w:val="21"/>
                    </w:rPr>
                  </w:pPr>
                </w:p>
              </w:tc>
              <w:tc>
                <w:tcPr>
                  <w:tcW w:w="643" w:type="dxa"/>
                  <w:vMerge w:val="continue"/>
                  <w:tcBorders>
                    <w:tl2br w:val="nil"/>
                    <w:tr2bl w:val="nil"/>
                  </w:tcBorders>
                  <w:vAlign w:val="center"/>
                </w:tcPr>
                <w:p>
                  <w:pPr>
                    <w:widowControl/>
                    <w:jc w:val="left"/>
                    <w:rPr>
                      <w:rFonts w:ascii="Times New Roman" w:hAnsi="Times New Roman" w:eastAsia="宋体" w:cs="Times New Roman"/>
                      <w:b/>
                      <w:bCs/>
                      <w:color w:val="auto"/>
                      <w:szCs w:val="21"/>
                    </w:rPr>
                  </w:pPr>
                </w:p>
              </w:tc>
              <w:tc>
                <w:tcPr>
                  <w:tcW w:w="1836" w:type="dxa"/>
                  <w:vMerge w:val="continue"/>
                  <w:tcBorders>
                    <w:tl2br w:val="nil"/>
                    <w:tr2bl w:val="nil"/>
                  </w:tcBorders>
                  <w:vAlign w:val="center"/>
                </w:tcPr>
                <w:p>
                  <w:pPr>
                    <w:widowControl/>
                    <w:jc w:val="left"/>
                    <w:rPr>
                      <w:rFonts w:ascii="Times New Roman" w:hAnsi="Times New Roman" w:eastAsia="宋体" w:cs="Times New Roman"/>
                      <w:b/>
                      <w:bCs/>
                      <w:color w:val="auto"/>
                      <w:szCs w:val="21"/>
                    </w:rPr>
                  </w:pPr>
                </w:p>
              </w:tc>
              <w:tc>
                <w:tcPr>
                  <w:tcW w:w="2789" w:type="dxa"/>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标准名称</w:t>
                  </w:r>
                </w:p>
              </w:tc>
              <w:tc>
                <w:tcPr>
                  <w:tcW w:w="1235" w:type="dxa"/>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浓度限值（mg/m</w:t>
                  </w:r>
                  <w:r>
                    <w:rPr>
                      <w:rFonts w:ascii="Times New Roman" w:hAnsi="Times New Roman" w:eastAsia="宋体" w:cs="Times New Roman"/>
                      <w:b/>
                      <w:bCs/>
                      <w:color w:val="auto"/>
                      <w:szCs w:val="21"/>
                      <w:vertAlign w:val="superscript"/>
                    </w:rPr>
                    <w:t>3</w:t>
                  </w:r>
                  <w:r>
                    <w:rPr>
                      <w:rFonts w:ascii="Times New Roman" w:hAnsi="Times New Roman" w:eastAsia="宋体" w:cs="Times New Roman"/>
                      <w:b/>
                      <w:bCs/>
                      <w:color w:val="auto"/>
                      <w:szCs w:val="21"/>
                    </w:rPr>
                    <w:t>）</w:t>
                  </w:r>
                </w:p>
              </w:tc>
              <w:tc>
                <w:tcPr>
                  <w:tcW w:w="880" w:type="dxa"/>
                  <w:vMerge w:val="continue"/>
                  <w:tcBorders>
                    <w:tl2br w:val="nil"/>
                    <w:tr2bl w:val="nil"/>
                  </w:tcBorders>
                  <w:vAlign w:val="center"/>
                </w:tcPr>
                <w:p>
                  <w:pPr>
                    <w:widowControl/>
                    <w:jc w:val="left"/>
                    <w:rPr>
                      <w:rFonts w:ascii="Times New Roman" w:hAnsi="Times New Roman" w:eastAsia="宋体" w:cs="Times New Roman"/>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777" w:type="dxa"/>
                  <w:vMerge w:val="restart"/>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废水处理设施</w:t>
                  </w:r>
                </w:p>
              </w:tc>
              <w:tc>
                <w:tcPr>
                  <w:tcW w:w="643"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氨</w:t>
                  </w:r>
                </w:p>
              </w:tc>
              <w:tc>
                <w:tcPr>
                  <w:tcW w:w="1836" w:type="dxa"/>
                  <w:vMerge w:val="restart"/>
                  <w:tcBorders>
                    <w:tl2br w:val="nil"/>
                    <w:tr2bl w:val="nil"/>
                  </w:tcBorders>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产生恶臭气体的建构筑物采用封闭措施，污泥间采用排风机进行换气</w:t>
                  </w:r>
                </w:p>
              </w:tc>
              <w:tc>
                <w:tcPr>
                  <w:tcW w:w="2789" w:type="dxa"/>
                  <w:vMerge w:val="restart"/>
                  <w:tcBorders>
                    <w:tl2br w:val="nil"/>
                    <w:tr2bl w:val="nil"/>
                  </w:tcBorders>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《城镇污水处理厂污染物排放标准》（</w:t>
                  </w:r>
                  <w:r>
                    <w:rPr>
                      <w:rFonts w:ascii="Times New Roman" w:hAnsi="Times New Roman" w:eastAsia="宋体" w:cs="Times New Roman"/>
                      <w:color w:val="auto"/>
                      <w:szCs w:val="21"/>
                    </w:rPr>
                    <w:t>GB18918-2002）表4中的二级标准</w:t>
                  </w:r>
                </w:p>
              </w:tc>
              <w:tc>
                <w:tcPr>
                  <w:tcW w:w="1235" w:type="dxa"/>
                  <w:tcBorders>
                    <w:tl2br w:val="nil"/>
                    <w:tr2bl w:val="nil"/>
                  </w:tcBorders>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.5</w:t>
                  </w:r>
                </w:p>
              </w:tc>
              <w:tc>
                <w:tcPr>
                  <w:tcW w:w="880" w:type="dxa"/>
                  <w:tcBorders>
                    <w:tl2br w:val="nil"/>
                    <w:tr2bl w:val="nil"/>
                  </w:tcBorders>
                  <w:vAlign w:val="center"/>
                </w:tcPr>
                <w:p>
                  <w:pPr>
                    <w:pStyle w:val="53"/>
                    <w:rPr>
                      <w:rFonts w:hint="default" w:eastAsia="宋体"/>
                      <w:color w:val="auto"/>
                      <w:lang w:val="en-US" w:eastAsia="zh-CN"/>
                    </w:rPr>
                  </w:pPr>
                  <w:r>
                    <w:rPr>
                      <w:rFonts w:hint="eastAsia"/>
                      <w:color w:val="auto"/>
                      <w:lang w:val="en-US"/>
                    </w:rPr>
                    <w:t>0</w:t>
                  </w:r>
                  <w:r>
                    <w:rPr>
                      <w:color w:val="auto"/>
                      <w:lang w:val="en-US"/>
                    </w:rPr>
                    <w:t>.</w:t>
                  </w:r>
                  <w:r>
                    <w:rPr>
                      <w:rFonts w:hint="eastAsia"/>
                      <w:color w:val="auto"/>
                      <w:lang w:val="en-US" w:eastAsia="zh-CN"/>
                    </w:rPr>
                    <w:t>4888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777" w:type="dxa"/>
                  <w:vMerge w:val="continue"/>
                  <w:tcBorders>
                    <w:tl2br w:val="nil"/>
                    <w:tr2bl w:val="nil"/>
                  </w:tcBorders>
                  <w:vAlign w:val="center"/>
                </w:tcPr>
                <w:p>
                  <w:pPr>
                    <w:jc w:val="center"/>
                    <w:rPr>
                      <w:rFonts w:ascii="Times New Roman" w:hAnsi="Times New Roman" w:eastAsia="宋体" w:cs="Times New Roman"/>
                      <w:color w:val="auto"/>
                      <w:szCs w:val="21"/>
                    </w:rPr>
                  </w:pPr>
                </w:p>
              </w:tc>
              <w:tc>
                <w:tcPr>
                  <w:tcW w:w="643"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硫化氢</w:t>
                  </w:r>
                </w:p>
              </w:tc>
              <w:tc>
                <w:tcPr>
                  <w:tcW w:w="1836" w:type="dxa"/>
                  <w:vMerge w:val="continue"/>
                  <w:tcBorders>
                    <w:tl2br w:val="nil"/>
                    <w:tr2bl w:val="nil"/>
                  </w:tcBorders>
                  <w:vAlign w:val="center"/>
                </w:tcPr>
                <w:p>
                  <w:pPr>
                    <w:jc w:val="center"/>
                    <w:rPr>
                      <w:rFonts w:ascii="Times New Roman" w:hAnsi="Times New Roman" w:eastAsia="宋体" w:cs="Times New Roman"/>
                      <w:color w:val="auto"/>
                      <w:szCs w:val="21"/>
                    </w:rPr>
                  </w:pPr>
                </w:p>
              </w:tc>
              <w:tc>
                <w:tcPr>
                  <w:tcW w:w="2789" w:type="dxa"/>
                  <w:vMerge w:val="continue"/>
                  <w:tcBorders>
                    <w:tl2br w:val="nil"/>
                    <w:tr2bl w:val="nil"/>
                  </w:tcBorders>
                  <w:vAlign w:val="center"/>
                </w:tcPr>
                <w:p>
                  <w:pPr>
                    <w:jc w:val="center"/>
                    <w:rPr>
                      <w:rFonts w:ascii="Times New Roman" w:hAnsi="Times New Roman" w:eastAsia="宋体" w:cs="Times New Roman"/>
                      <w:color w:val="auto"/>
                      <w:szCs w:val="21"/>
                    </w:rPr>
                  </w:pPr>
                </w:p>
              </w:tc>
              <w:tc>
                <w:tcPr>
                  <w:tcW w:w="1235" w:type="dxa"/>
                  <w:tcBorders>
                    <w:tl2br w:val="nil"/>
                    <w:tr2bl w:val="nil"/>
                  </w:tcBorders>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.06</w:t>
                  </w:r>
                </w:p>
              </w:tc>
              <w:tc>
                <w:tcPr>
                  <w:tcW w:w="880" w:type="dxa"/>
                  <w:tcBorders>
                    <w:tl2br w:val="nil"/>
                    <w:tr2bl w:val="nil"/>
                  </w:tcBorders>
                  <w:vAlign w:val="center"/>
                </w:tcPr>
                <w:p>
                  <w:pPr>
                    <w:pStyle w:val="53"/>
                    <w:rPr>
                      <w:rFonts w:hint="default" w:eastAsia="宋体"/>
                      <w:color w:val="auto"/>
                      <w:lang w:val="en-US" w:eastAsia="zh-CN"/>
                    </w:rPr>
                  </w:pPr>
                  <w:r>
                    <w:rPr>
                      <w:rFonts w:hint="eastAsia"/>
                      <w:color w:val="auto"/>
                      <w:lang w:val="en-US"/>
                    </w:rPr>
                    <w:t>0</w:t>
                  </w:r>
                  <w:r>
                    <w:rPr>
                      <w:color w:val="auto"/>
                      <w:lang w:val="en-US"/>
                    </w:rPr>
                    <w:t>.0</w:t>
                  </w:r>
                  <w:r>
                    <w:rPr>
                      <w:rFonts w:hint="eastAsia"/>
                      <w:color w:val="auto"/>
                      <w:lang w:val="en-US" w:eastAsia="zh-CN"/>
                    </w:rPr>
                    <w:t>189</w:t>
                  </w:r>
                </w:p>
              </w:tc>
            </w:tr>
          </w:tbl>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 xml:space="preserve">表4-3  </w:t>
            </w:r>
            <w:r>
              <w:rPr>
                <w:rFonts w:hint="eastAsia" w:ascii="Times New Roman" w:hAnsi="Times New Roman" w:eastAsia="宋体"/>
                <w:color w:val="auto"/>
                <w:sz w:val="24"/>
                <w:szCs w:val="24"/>
              </w:rPr>
              <w:t>排放口基本情况</w:t>
            </w:r>
          </w:p>
          <w:tbl>
            <w:tblPr>
              <w:tblStyle w:val="24"/>
              <w:tblW w:w="85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1"/>
              <w:gridCol w:w="806"/>
              <w:gridCol w:w="705"/>
              <w:gridCol w:w="705"/>
              <w:gridCol w:w="658"/>
              <w:gridCol w:w="730"/>
              <w:gridCol w:w="976"/>
              <w:gridCol w:w="853"/>
              <w:gridCol w:w="1598"/>
              <w:gridCol w:w="12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01" w:type="dxa"/>
                  <w:vMerge w:val="restart"/>
                  <w:tcBorders>
                    <w:tl2br w:val="nil"/>
                    <w:tr2bl w:val="nil"/>
                  </w:tcBorders>
                  <w:vAlign w:val="center"/>
                </w:tcPr>
                <w:p>
                  <w:pPr>
                    <w:pStyle w:val="49"/>
                    <w:jc w:val="center"/>
                    <w:rPr>
                      <w:rFonts w:ascii="Times New Roman" w:hAnsi="Times New Roman"/>
                      <w:b/>
                      <w:bCs/>
                      <w:color w:val="auto"/>
                      <w:szCs w:val="21"/>
                    </w:rPr>
                  </w:pPr>
                  <w:r>
                    <w:rPr>
                      <w:rFonts w:ascii="Times New Roman" w:hAnsi="Times New Roman"/>
                      <w:b/>
                      <w:bCs/>
                      <w:color w:val="auto"/>
                      <w:szCs w:val="21"/>
                    </w:rPr>
                    <w:t>序号</w:t>
                  </w:r>
                </w:p>
              </w:tc>
              <w:tc>
                <w:tcPr>
                  <w:tcW w:w="806" w:type="dxa"/>
                  <w:vMerge w:val="restart"/>
                  <w:tcBorders>
                    <w:tl2br w:val="nil"/>
                    <w:tr2bl w:val="nil"/>
                  </w:tcBorders>
                  <w:vAlign w:val="center"/>
                </w:tcPr>
                <w:p>
                  <w:pPr>
                    <w:pStyle w:val="49"/>
                    <w:jc w:val="center"/>
                    <w:rPr>
                      <w:rFonts w:ascii="Times New Roman" w:hAnsi="Times New Roman"/>
                      <w:b/>
                      <w:bCs/>
                      <w:color w:val="auto"/>
                      <w:szCs w:val="21"/>
                    </w:rPr>
                  </w:pPr>
                  <w:r>
                    <w:rPr>
                      <w:rFonts w:ascii="Times New Roman" w:hAnsi="Times New Roman"/>
                      <w:b/>
                      <w:bCs/>
                      <w:color w:val="auto"/>
                      <w:szCs w:val="21"/>
                    </w:rPr>
                    <w:t>产排污环节</w:t>
                  </w:r>
                </w:p>
              </w:tc>
              <w:tc>
                <w:tcPr>
                  <w:tcW w:w="6225" w:type="dxa"/>
                  <w:gridSpan w:val="7"/>
                  <w:tcBorders>
                    <w:tl2br w:val="nil"/>
                    <w:tr2bl w:val="nil"/>
                  </w:tcBorders>
                  <w:vAlign w:val="center"/>
                </w:tcPr>
                <w:p>
                  <w:pPr>
                    <w:pStyle w:val="49"/>
                    <w:jc w:val="center"/>
                    <w:rPr>
                      <w:rFonts w:ascii="Times New Roman" w:hAnsi="Times New Roman"/>
                      <w:b/>
                      <w:bCs/>
                      <w:color w:val="auto"/>
                      <w:szCs w:val="21"/>
                    </w:rPr>
                  </w:pPr>
                  <w:r>
                    <w:rPr>
                      <w:rFonts w:ascii="Times New Roman" w:hAnsi="Times New Roman"/>
                      <w:b/>
                      <w:bCs/>
                      <w:color w:val="auto"/>
                      <w:szCs w:val="21"/>
                    </w:rPr>
                    <w:t>排放口基本情况</w:t>
                  </w:r>
                </w:p>
              </w:tc>
              <w:tc>
                <w:tcPr>
                  <w:tcW w:w="1259" w:type="dxa"/>
                  <w:vMerge w:val="restart"/>
                  <w:tcBorders>
                    <w:tl2br w:val="nil"/>
                    <w:tr2bl w:val="nil"/>
                  </w:tcBorders>
                  <w:vAlign w:val="center"/>
                </w:tcPr>
                <w:p>
                  <w:pPr>
                    <w:pStyle w:val="49"/>
                    <w:jc w:val="center"/>
                    <w:rPr>
                      <w:rFonts w:ascii="Times New Roman" w:hAnsi="Times New Roman"/>
                      <w:b/>
                      <w:bCs/>
                      <w:color w:val="auto"/>
                      <w:szCs w:val="21"/>
                    </w:rPr>
                  </w:pPr>
                  <w:r>
                    <w:rPr>
                      <w:rFonts w:ascii="Times New Roman" w:hAnsi="Times New Roman"/>
                      <w:b/>
                      <w:bCs/>
                      <w:color w:val="auto"/>
                      <w:szCs w:val="21"/>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01" w:type="dxa"/>
                  <w:vMerge w:val="continue"/>
                  <w:tcBorders>
                    <w:tl2br w:val="nil"/>
                    <w:tr2bl w:val="nil"/>
                  </w:tcBorders>
                  <w:vAlign w:val="center"/>
                </w:tcPr>
                <w:p>
                  <w:pPr>
                    <w:pStyle w:val="49"/>
                    <w:jc w:val="center"/>
                    <w:rPr>
                      <w:rFonts w:ascii="Times New Roman" w:hAnsi="Times New Roman"/>
                      <w:b/>
                      <w:bCs/>
                      <w:color w:val="auto"/>
                      <w:szCs w:val="21"/>
                    </w:rPr>
                  </w:pPr>
                </w:p>
              </w:tc>
              <w:tc>
                <w:tcPr>
                  <w:tcW w:w="806" w:type="dxa"/>
                  <w:vMerge w:val="continue"/>
                  <w:tcBorders>
                    <w:tl2br w:val="nil"/>
                    <w:tr2bl w:val="nil"/>
                  </w:tcBorders>
                  <w:vAlign w:val="center"/>
                </w:tcPr>
                <w:p>
                  <w:pPr>
                    <w:pStyle w:val="49"/>
                    <w:jc w:val="center"/>
                    <w:rPr>
                      <w:rFonts w:ascii="Times New Roman" w:hAnsi="Times New Roman"/>
                      <w:b/>
                      <w:bCs/>
                      <w:color w:val="auto"/>
                      <w:szCs w:val="21"/>
                    </w:rPr>
                  </w:pPr>
                </w:p>
              </w:tc>
              <w:tc>
                <w:tcPr>
                  <w:tcW w:w="705" w:type="dxa"/>
                  <w:tcBorders>
                    <w:tl2br w:val="nil"/>
                    <w:tr2bl w:val="nil"/>
                  </w:tcBorders>
                  <w:vAlign w:val="center"/>
                </w:tcPr>
                <w:p>
                  <w:pPr>
                    <w:pStyle w:val="49"/>
                    <w:jc w:val="center"/>
                    <w:rPr>
                      <w:rFonts w:ascii="Times New Roman" w:hAnsi="Times New Roman"/>
                      <w:b/>
                      <w:bCs/>
                      <w:color w:val="auto"/>
                      <w:szCs w:val="21"/>
                    </w:rPr>
                  </w:pPr>
                  <w:r>
                    <w:rPr>
                      <w:rFonts w:ascii="Times New Roman" w:hAnsi="Times New Roman"/>
                      <w:b/>
                      <w:bCs/>
                      <w:color w:val="auto"/>
                      <w:szCs w:val="21"/>
                    </w:rPr>
                    <w:t>高度（m）</w:t>
                  </w:r>
                </w:p>
              </w:tc>
              <w:tc>
                <w:tcPr>
                  <w:tcW w:w="705" w:type="dxa"/>
                  <w:tcBorders>
                    <w:tl2br w:val="nil"/>
                    <w:tr2bl w:val="nil"/>
                  </w:tcBorders>
                  <w:vAlign w:val="center"/>
                </w:tcPr>
                <w:p>
                  <w:pPr>
                    <w:pStyle w:val="49"/>
                    <w:jc w:val="center"/>
                    <w:rPr>
                      <w:rFonts w:ascii="Times New Roman" w:hAnsi="Times New Roman"/>
                      <w:b/>
                      <w:bCs/>
                      <w:color w:val="auto"/>
                      <w:szCs w:val="21"/>
                    </w:rPr>
                  </w:pPr>
                  <w:r>
                    <w:rPr>
                      <w:rFonts w:ascii="Times New Roman" w:hAnsi="Times New Roman"/>
                      <w:b/>
                      <w:bCs/>
                      <w:color w:val="auto"/>
                      <w:szCs w:val="21"/>
                    </w:rPr>
                    <w:t>排气筒内径（m）</w:t>
                  </w:r>
                </w:p>
              </w:tc>
              <w:tc>
                <w:tcPr>
                  <w:tcW w:w="658" w:type="dxa"/>
                  <w:tcBorders>
                    <w:tl2br w:val="nil"/>
                    <w:tr2bl w:val="nil"/>
                  </w:tcBorders>
                  <w:vAlign w:val="center"/>
                </w:tcPr>
                <w:p>
                  <w:pPr>
                    <w:pStyle w:val="49"/>
                    <w:jc w:val="center"/>
                    <w:rPr>
                      <w:rFonts w:ascii="Times New Roman" w:hAnsi="Times New Roman"/>
                      <w:b/>
                      <w:bCs/>
                      <w:color w:val="auto"/>
                      <w:szCs w:val="21"/>
                    </w:rPr>
                  </w:pPr>
                  <w:r>
                    <w:rPr>
                      <w:rFonts w:ascii="Times New Roman" w:hAnsi="Times New Roman"/>
                      <w:b/>
                      <w:bCs/>
                      <w:color w:val="auto"/>
                      <w:szCs w:val="21"/>
                    </w:rPr>
                    <w:t>温度（℃）</w:t>
                  </w:r>
                </w:p>
              </w:tc>
              <w:tc>
                <w:tcPr>
                  <w:tcW w:w="730" w:type="dxa"/>
                  <w:tcBorders>
                    <w:tl2br w:val="nil"/>
                    <w:tr2bl w:val="nil"/>
                  </w:tcBorders>
                  <w:vAlign w:val="center"/>
                </w:tcPr>
                <w:p>
                  <w:pPr>
                    <w:pStyle w:val="49"/>
                    <w:jc w:val="center"/>
                    <w:rPr>
                      <w:rFonts w:ascii="Times New Roman" w:hAnsi="Times New Roman"/>
                      <w:b/>
                      <w:bCs/>
                      <w:color w:val="auto"/>
                      <w:szCs w:val="21"/>
                    </w:rPr>
                  </w:pPr>
                  <w:r>
                    <w:rPr>
                      <w:rFonts w:ascii="Times New Roman" w:hAnsi="Times New Roman"/>
                      <w:b/>
                      <w:bCs/>
                      <w:color w:val="auto"/>
                      <w:szCs w:val="21"/>
                    </w:rPr>
                    <w:t>编号</w:t>
                  </w:r>
                </w:p>
              </w:tc>
              <w:tc>
                <w:tcPr>
                  <w:tcW w:w="976" w:type="dxa"/>
                  <w:tcBorders>
                    <w:tl2br w:val="nil"/>
                    <w:tr2bl w:val="nil"/>
                  </w:tcBorders>
                  <w:vAlign w:val="center"/>
                </w:tcPr>
                <w:p>
                  <w:pPr>
                    <w:pStyle w:val="49"/>
                    <w:jc w:val="center"/>
                    <w:rPr>
                      <w:rFonts w:ascii="Times New Roman" w:hAnsi="Times New Roman"/>
                      <w:b/>
                      <w:bCs/>
                      <w:color w:val="auto"/>
                      <w:szCs w:val="21"/>
                    </w:rPr>
                  </w:pPr>
                  <w:r>
                    <w:rPr>
                      <w:rFonts w:ascii="Times New Roman" w:hAnsi="Times New Roman"/>
                      <w:b/>
                      <w:bCs/>
                      <w:color w:val="auto"/>
                      <w:szCs w:val="21"/>
                    </w:rPr>
                    <w:t>名称</w:t>
                  </w:r>
                </w:p>
              </w:tc>
              <w:tc>
                <w:tcPr>
                  <w:tcW w:w="853" w:type="dxa"/>
                  <w:tcBorders>
                    <w:tl2br w:val="nil"/>
                    <w:tr2bl w:val="nil"/>
                  </w:tcBorders>
                  <w:vAlign w:val="center"/>
                </w:tcPr>
                <w:p>
                  <w:pPr>
                    <w:pStyle w:val="49"/>
                    <w:jc w:val="center"/>
                    <w:rPr>
                      <w:rFonts w:ascii="Times New Roman" w:hAnsi="Times New Roman"/>
                      <w:b/>
                      <w:bCs/>
                      <w:color w:val="auto"/>
                      <w:szCs w:val="21"/>
                    </w:rPr>
                  </w:pPr>
                  <w:r>
                    <w:rPr>
                      <w:rFonts w:ascii="Times New Roman" w:hAnsi="Times New Roman"/>
                      <w:b/>
                      <w:bCs/>
                      <w:color w:val="auto"/>
                      <w:szCs w:val="21"/>
                    </w:rPr>
                    <w:t>类型</w:t>
                  </w:r>
                </w:p>
              </w:tc>
              <w:tc>
                <w:tcPr>
                  <w:tcW w:w="1598" w:type="dxa"/>
                  <w:tcBorders>
                    <w:tl2br w:val="nil"/>
                    <w:tr2bl w:val="nil"/>
                  </w:tcBorders>
                  <w:vAlign w:val="center"/>
                </w:tcPr>
                <w:p>
                  <w:pPr>
                    <w:pStyle w:val="49"/>
                    <w:jc w:val="center"/>
                    <w:rPr>
                      <w:rFonts w:ascii="Times New Roman" w:hAnsi="Times New Roman"/>
                      <w:b/>
                      <w:bCs/>
                      <w:color w:val="auto"/>
                      <w:szCs w:val="21"/>
                    </w:rPr>
                  </w:pPr>
                  <w:r>
                    <w:rPr>
                      <w:rFonts w:ascii="Times New Roman" w:hAnsi="Times New Roman"/>
                      <w:b/>
                      <w:bCs/>
                      <w:color w:val="auto"/>
                      <w:szCs w:val="21"/>
                    </w:rPr>
                    <w:t>地理坐标</w:t>
                  </w:r>
                </w:p>
              </w:tc>
              <w:tc>
                <w:tcPr>
                  <w:tcW w:w="1259" w:type="dxa"/>
                  <w:vMerge w:val="continue"/>
                  <w:tcBorders>
                    <w:tl2br w:val="nil"/>
                    <w:tr2bl w:val="nil"/>
                  </w:tcBorders>
                  <w:vAlign w:val="center"/>
                </w:tcPr>
                <w:p>
                  <w:pPr>
                    <w:pStyle w:val="49"/>
                    <w:jc w:val="center"/>
                    <w:rPr>
                      <w:rFonts w:ascii="Times New Roman" w:hAnsi="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01" w:type="dxa"/>
                  <w:tcBorders>
                    <w:tl2br w:val="nil"/>
                    <w:tr2bl w:val="nil"/>
                  </w:tcBorders>
                  <w:vAlign w:val="center"/>
                </w:tcPr>
                <w:p>
                  <w:pPr>
                    <w:pStyle w:val="49"/>
                    <w:jc w:val="center"/>
                    <w:rPr>
                      <w:rFonts w:ascii="Times New Roman" w:hAnsi="Times New Roman"/>
                      <w:color w:val="auto"/>
                      <w:szCs w:val="21"/>
                    </w:rPr>
                  </w:pPr>
                  <w:r>
                    <w:rPr>
                      <w:rFonts w:ascii="Times New Roman" w:hAnsi="Times New Roman"/>
                      <w:color w:val="auto"/>
                      <w:szCs w:val="21"/>
                    </w:rPr>
                    <w:t>1</w:t>
                  </w:r>
                </w:p>
              </w:tc>
              <w:tc>
                <w:tcPr>
                  <w:tcW w:w="806" w:type="dxa"/>
                  <w:tcBorders>
                    <w:tl2br w:val="nil"/>
                    <w:tr2bl w:val="nil"/>
                  </w:tcBorders>
                  <w:vAlign w:val="center"/>
                </w:tcPr>
                <w:p>
                  <w:pPr>
                    <w:pStyle w:val="49"/>
                    <w:jc w:val="center"/>
                    <w:rPr>
                      <w:rFonts w:ascii="Times New Roman" w:hAnsi="Times New Roman"/>
                      <w:color w:val="auto"/>
                      <w:szCs w:val="21"/>
                    </w:rPr>
                  </w:pPr>
                  <w:r>
                    <w:rPr>
                      <w:rFonts w:ascii="Times New Roman" w:hAnsi="Times New Roman"/>
                      <w:color w:val="auto"/>
                      <w:szCs w:val="21"/>
                    </w:rPr>
                    <w:t>废水处理设施</w:t>
                  </w:r>
                </w:p>
              </w:tc>
              <w:tc>
                <w:tcPr>
                  <w:tcW w:w="705" w:type="dxa"/>
                  <w:tcBorders>
                    <w:tl2br w:val="nil"/>
                    <w:tr2bl w:val="nil"/>
                  </w:tcBorders>
                  <w:vAlign w:val="center"/>
                </w:tcPr>
                <w:p>
                  <w:pPr>
                    <w:pStyle w:val="49"/>
                    <w:jc w:val="center"/>
                    <w:rPr>
                      <w:rFonts w:ascii="Times New Roman" w:hAnsi="Times New Roman"/>
                      <w:color w:val="auto"/>
                      <w:szCs w:val="21"/>
                    </w:rPr>
                  </w:pPr>
                  <w:r>
                    <w:rPr>
                      <w:rFonts w:ascii="Times New Roman" w:hAnsi="Times New Roman"/>
                      <w:color w:val="auto"/>
                      <w:szCs w:val="21"/>
                    </w:rPr>
                    <w:t>15</w:t>
                  </w:r>
                </w:p>
              </w:tc>
              <w:tc>
                <w:tcPr>
                  <w:tcW w:w="705" w:type="dxa"/>
                  <w:tcBorders>
                    <w:tl2br w:val="nil"/>
                    <w:tr2bl w:val="nil"/>
                  </w:tcBorders>
                  <w:vAlign w:val="center"/>
                </w:tcPr>
                <w:p>
                  <w:pPr>
                    <w:pStyle w:val="49"/>
                    <w:jc w:val="center"/>
                    <w:rPr>
                      <w:rFonts w:hint="eastAsia" w:ascii="Times New Roman" w:hAnsi="Times New Roman" w:eastAsia="宋体"/>
                      <w:color w:val="auto"/>
                      <w:szCs w:val="21"/>
                      <w:lang w:eastAsia="zh-CN"/>
                    </w:rPr>
                  </w:pPr>
                  <w:r>
                    <w:rPr>
                      <w:rFonts w:ascii="Times New Roman" w:hAnsi="Times New Roman"/>
                      <w:color w:val="auto"/>
                      <w:szCs w:val="21"/>
                    </w:rPr>
                    <w:t>0.</w:t>
                  </w:r>
                  <w:r>
                    <w:rPr>
                      <w:rFonts w:hint="eastAsia" w:ascii="Times New Roman" w:hAnsi="Times New Roman"/>
                      <w:color w:val="auto"/>
                      <w:szCs w:val="21"/>
                      <w:lang w:val="en-US" w:eastAsia="zh-CN"/>
                    </w:rPr>
                    <w:t>8</w:t>
                  </w:r>
                </w:p>
              </w:tc>
              <w:tc>
                <w:tcPr>
                  <w:tcW w:w="658" w:type="dxa"/>
                  <w:tcBorders>
                    <w:tl2br w:val="nil"/>
                    <w:tr2bl w:val="nil"/>
                  </w:tcBorders>
                  <w:vAlign w:val="center"/>
                </w:tcPr>
                <w:p>
                  <w:pPr>
                    <w:pStyle w:val="49"/>
                    <w:jc w:val="center"/>
                    <w:rPr>
                      <w:rFonts w:ascii="Times New Roman" w:hAnsi="Times New Roman"/>
                      <w:color w:val="auto"/>
                      <w:szCs w:val="21"/>
                    </w:rPr>
                  </w:pPr>
                  <w:r>
                    <w:rPr>
                      <w:rFonts w:ascii="Times New Roman" w:hAnsi="Times New Roman"/>
                      <w:color w:val="auto"/>
                      <w:szCs w:val="21"/>
                    </w:rPr>
                    <w:t>25</w:t>
                  </w:r>
                </w:p>
              </w:tc>
              <w:tc>
                <w:tcPr>
                  <w:tcW w:w="730" w:type="dxa"/>
                  <w:tcBorders>
                    <w:tl2br w:val="nil"/>
                    <w:tr2bl w:val="nil"/>
                  </w:tcBorders>
                  <w:vAlign w:val="center"/>
                </w:tcPr>
                <w:p>
                  <w:pPr>
                    <w:pStyle w:val="49"/>
                    <w:jc w:val="center"/>
                    <w:rPr>
                      <w:rFonts w:ascii="Times New Roman" w:hAnsi="Times New Roman"/>
                      <w:color w:val="auto"/>
                      <w:szCs w:val="21"/>
                    </w:rPr>
                  </w:pPr>
                  <w:r>
                    <w:rPr>
                      <w:rFonts w:ascii="Times New Roman" w:hAnsi="Times New Roman"/>
                      <w:color w:val="auto"/>
                      <w:szCs w:val="21"/>
                    </w:rPr>
                    <w:t>DA001</w:t>
                  </w:r>
                </w:p>
              </w:tc>
              <w:tc>
                <w:tcPr>
                  <w:tcW w:w="976" w:type="dxa"/>
                  <w:tcBorders>
                    <w:tl2br w:val="nil"/>
                    <w:tr2bl w:val="nil"/>
                  </w:tcBorders>
                  <w:vAlign w:val="center"/>
                </w:tcPr>
                <w:p>
                  <w:pPr>
                    <w:pStyle w:val="49"/>
                    <w:jc w:val="center"/>
                    <w:rPr>
                      <w:rFonts w:ascii="Times New Roman" w:hAnsi="Times New Roman"/>
                      <w:color w:val="auto"/>
                      <w:szCs w:val="21"/>
                    </w:rPr>
                  </w:pPr>
                  <w:r>
                    <w:rPr>
                      <w:rFonts w:ascii="Times New Roman" w:hAnsi="Times New Roman"/>
                      <w:color w:val="auto"/>
                      <w:szCs w:val="21"/>
                    </w:rPr>
                    <w:t>废水处理设施排放口</w:t>
                  </w:r>
                </w:p>
              </w:tc>
              <w:tc>
                <w:tcPr>
                  <w:tcW w:w="853" w:type="dxa"/>
                  <w:tcBorders>
                    <w:tl2br w:val="nil"/>
                    <w:tr2bl w:val="nil"/>
                  </w:tcBorders>
                  <w:vAlign w:val="center"/>
                </w:tcPr>
                <w:p>
                  <w:pPr>
                    <w:pStyle w:val="49"/>
                    <w:jc w:val="center"/>
                    <w:rPr>
                      <w:rFonts w:ascii="Times New Roman" w:hAnsi="Times New Roman"/>
                      <w:color w:val="auto"/>
                      <w:szCs w:val="21"/>
                    </w:rPr>
                  </w:pPr>
                  <w:r>
                    <w:rPr>
                      <w:rFonts w:ascii="Times New Roman" w:hAnsi="Times New Roman"/>
                      <w:color w:val="auto"/>
                      <w:szCs w:val="21"/>
                    </w:rPr>
                    <w:t>一般排放口</w:t>
                  </w:r>
                </w:p>
              </w:tc>
              <w:tc>
                <w:tcPr>
                  <w:tcW w:w="1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东经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113°13′40.804″，</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北纬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39°10′24.9″</w:t>
                  </w:r>
                </w:p>
              </w:tc>
              <w:tc>
                <w:tcPr>
                  <w:tcW w:w="1259" w:type="dxa"/>
                  <w:tcBorders>
                    <w:tl2br w:val="nil"/>
                    <w:tr2bl w:val="nil"/>
                  </w:tcBorders>
                  <w:vAlign w:val="center"/>
                </w:tcPr>
                <w:p>
                  <w:pPr>
                    <w:pStyle w:val="49"/>
                    <w:jc w:val="center"/>
                    <w:rPr>
                      <w:rFonts w:hint="default" w:ascii="Times New Roman" w:hAnsi="Times New Roman" w:cs="Times New Roman"/>
                      <w:color w:val="auto"/>
                      <w:szCs w:val="21"/>
                    </w:rPr>
                  </w:pPr>
                  <w:r>
                    <w:rPr>
                      <w:rFonts w:hint="default" w:ascii="Times New Roman" w:hAnsi="Times New Roman" w:cs="Times New Roman"/>
                      <w:color w:val="auto"/>
                      <w:szCs w:val="21"/>
                    </w:rPr>
                    <w:t>《恶臭污染物排放标准》（GB14554-93）</w:t>
                  </w:r>
                </w:p>
              </w:tc>
            </w:tr>
          </w:tbl>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4.5.5达标分析</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污水处理废气：收集的废气经“UV光解+活性炭”处理后通过不低于 15m 排气筒高空排放，满足排放执行《恶臭污染物排放标准》(GB 14554-93</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中的相关排放标准。</w:t>
            </w:r>
          </w:p>
          <w:p>
            <w:pPr>
              <w:adjustRightInd w:val="0"/>
              <w:snapToGrid w:val="0"/>
              <w:spacing w:line="360" w:lineRule="auto"/>
              <w:ind w:firstLine="420" w:firstLineChars="200"/>
              <w:jc w:val="center"/>
              <w:rPr>
                <w:rFonts w:ascii="Times New Roman" w:hAnsi="Times New Roman" w:cs="Times New Roman"/>
                <w:color w:val="auto"/>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1232535</wp:posOffset>
                      </wp:positionH>
                      <wp:positionV relativeFrom="paragraph">
                        <wp:posOffset>410845</wp:posOffset>
                      </wp:positionV>
                      <wp:extent cx="942340" cy="342900"/>
                      <wp:effectExtent l="4445" t="4445" r="5715" b="14605"/>
                      <wp:wrapNone/>
                      <wp:docPr id="1" name="文本框 1"/>
                      <wp:cNvGraphicFramePr/>
                      <a:graphic xmlns:a="http://schemas.openxmlformats.org/drawingml/2006/main">
                        <a:graphicData uri="http://schemas.microsoft.com/office/word/2010/wordprocessingShape">
                          <wps:wsp>
                            <wps:cNvSpPr txBox="1"/>
                            <wps:spPr>
                              <a:xfrm>
                                <a:off x="1286510" y="5738495"/>
                                <a:ext cx="942340"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ind w:left="0" w:leftChars="0" w:right="0" w:rightChars="0" w:firstLine="0" w:firstLineChars="0"/>
                                    <w:jc w:val="center"/>
                                    <w:rPr>
                                      <w:rFonts w:hint="default" w:eastAsiaTheme="minorEastAsia"/>
                                      <w:b w:val="0"/>
                                      <w:bCs w:val="0"/>
                                      <w:sz w:val="18"/>
                                      <w:szCs w:val="20"/>
                                      <w:lang w:val="en-US" w:eastAsia="zh-CN"/>
                                    </w:rPr>
                                  </w:pPr>
                                  <w:r>
                                    <w:rPr>
                                      <w:rFonts w:hint="eastAsia"/>
                                      <w:b w:val="0"/>
                                      <w:bCs w:val="0"/>
                                      <w:sz w:val="18"/>
                                      <w:szCs w:val="20"/>
                                      <w:lang w:val="en-US" w:eastAsia="zh-CN"/>
                                    </w:rPr>
                                    <w:t>厂区废气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05pt;margin-top:32.35pt;height:27pt;width:74.2pt;z-index:251661312;mso-width-relative:page;mso-height-relative:page;" fillcolor="#CCE8CF [3201]" filled="t" stroked="t" coordsize="21600,21600" o:gfxdata="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1JWtXaAAAACgEAAA8AAAAAAAAAAQAgAAAAIgAAAGRycy9kb3ducmV2LnhtbFBL&#10;AQIUABQAAAAIAIdO4kCF17FAZgIAAMIEAAAOAAAAAAAAAAEAIAAAACkBAABkcnMvZTJvRG9jLnht&#10;bFBLBQYAAAAABgAGAFkBAAABBgAAAAA=&#10;">
                      <v:fill on="t" focussize="0,0"/>
                      <v:stroke weight="0.5pt" color="#000000 [3204]" joinstyle="round"/>
                      <v:imagedata o:title=""/>
                      <o:lock v:ext="edit" aspectratio="f"/>
                      <v:textbox>
                        <w:txbxContent>
                          <w:p>
                            <w:pPr>
                              <w:spacing w:line="360" w:lineRule="auto"/>
                              <w:ind w:left="0" w:leftChars="0" w:right="0" w:rightChars="0" w:firstLine="0" w:firstLineChars="0"/>
                              <w:jc w:val="center"/>
                              <w:rPr>
                                <w:rFonts w:hint="default" w:eastAsiaTheme="minorEastAsia"/>
                                <w:b w:val="0"/>
                                <w:bCs w:val="0"/>
                                <w:sz w:val="18"/>
                                <w:szCs w:val="20"/>
                                <w:lang w:val="en-US" w:eastAsia="zh-CN"/>
                              </w:rPr>
                            </w:pPr>
                            <w:r>
                              <w:rPr>
                                <w:rFonts w:hint="eastAsia"/>
                                <w:b w:val="0"/>
                                <w:bCs w:val="0"/>
                                <w:sz w:val="18"/>
                                <w:szCs w:val="20"/>
                                <w:lang w:val="en-US" w:eastAsia="zh-CN"/>
                              </w:rPr>
                              <w:t>厂区废气</w:t>
                            </w:r>
                          </w:p>
                        </w:txbxContent>
                      </v:textbox>
                    </v:shape>
                  </w:pict>
                </mc:Fallback>
              </mc:AlternateContent>
            </w:r>
            <w:r>
              <w:rPr>
                <w:color w:val="auto"/>
              </w:rPr>
              <w:drawing>
                <wp:inline distT="0" distB="0" distL="114300" distR="114300">
                  <wp:extent cx="3314700" cy="800100"/>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5"/>
                          <a:stretch>
                            <a:fillRect/>
                          </a:stretch>
                        </pic:blipFill>
                        <pic:spPr>
                          <a:xfrm>
                            <a:off x="0" y="0"/>
                            <a:ext cx="3314700" cy="800100"/>
                          </a:xfrm>
                          <a:prstGeom prst="rect">
                            <a:avLst/>
                          </a:prstGeom>
                          <a:noFill/>
                          <a:ln>
                            <a:noFill/>
                          </a:ln>
                        </pic:spPr>
                      </pic:pic>
                    </a:graphicData>
                  </a:graphic>
                </wp:inline>
              </w:drawing>
            </w:r>
          </w:p>
          <w:p>
            <w:pPr>
              <w:pStyle w:val="35"/>
              <w:rPr>
                <w:rFonts w:ascii="Times New Roman" w:hAnsi="Times New Roman" w:eastAsia="宋体"/>
                <w:color w:val="auto"/>
                <w:sz w:val="24"/>
                <w:szCs w:val="24"/>
              </w:rPr>
            </w:pPr>
            <w:r>
              <w:rPr>
                <w:rFonts w:ascii="Times New Roman" w:hAnsi="Times New Roman" w:eastAsia="宋体"/>
                <w:color w:val="auto"/>
                <w:sz w:val="24"/>
                <w:szCs w:val="24"/>
              </w:rPr>
              <w:t>图 4-1</w:t>
            </w:r>
            <w:r>
              <w:rPr>
                <w:rFonts w:ascii="Times New Roman" w:hAnsi="Times New Roman" w:eastAsia="宋体"/>
                <w:color w:val="auto"/>
                <w:sz w:val="24"/>
                <w:szCs w:val="24"/>
              </w:rPr>
              <w:tab/>
            </w:r>
            <w:r>
              <w:rPr>
                <w:rFonts w:ascii="Times New Roman" w:hAnsi="Times New Roman" w:eastAsia="宋体"/>
                <w:color w:val="auto"/>
                <w:sz w:val="24"/>
                <w:szCs w:val="24"/>
              </w:rPr>
              <w:t>本项目废气处理方式</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 4-4</w:t>
            </w:r>
            <w:r>
              <w:rPr>
                <w:rFonts w:ascii="Times New Roman" w:hAnsi="Times New Roman" w:eastAsia="宋体"/>
                <w:color w:val="auto"/>
                <w:sz w:val="24"/>
                <w:szCs w:val="24"/>
              </w:rPr>
              <w:tab/>
            </w:r>
            <w:r>
              <w:rPr>
                <w:rFonts w:ascii="Times New Roman" w:hAnsi="Times New Roman" w:eastAsia="宋体"/>
                <w:color w:val="auto"/>
                <w:sz w:val="24"/>
                <w:szCs w:val="24"/>
              </w:rPr>
              <w:t>本项目废气达标分析一览表</w:t>
            </w:r>
          </w:p>
          <w:tbl>
            <w:tblPr>
              <w:tblStyle w:val="45"/>
              <w:tblW w:w="858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7"/>
              <w:gridCol w:w="722"/>
              <w:gridCol w:w="748"/>
              <w:gridCol w:w="1081"/>
              <w:gridCol w:w="686"/>
              <w:gridCol w:w="748"/>
              <w:gridCol w:w="729"/>
              <w:gridCol w:w="823"/>
              <w:gridCol w:w="1085"/>
              <w:gridCol w:w="15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457" w:type="dxa"/>
                  <w:vMerge w:val="restart"/>
                  <w:tcBorders>
                    <w:tl2br w:val="nil"/>
                    <w:tr2bl w:val="nil"/>
                  </w:tcBorders>
                  <w:vAlign w:val="center"/>
                </w:tcPr>
                <w:p>
                  <w:pPr>
                    <w:pStyle w:val="41"/>
                    <w:jc w:val="center"/>
                    <w:rPr>
                      <w:rFonts w:eastAsia="宋体"/>
                      <w:b/>
                      <w:bCs/>
                      <w:color w:val="auto"/>
                      <w:sz w:val="21"/>
                      <w:szCs w:val="21"/>
                      <w:lang w:eastAsia="zh-CN"/>
                    </w:rPr>
                  </w:pPr>
                  <w:r>
                    <w:rPr>
                      <w:rFonts w:eastAsia="宋体"/>
                      <w:b/>
                      <w:bCs/>
                      <w:color w:val="auto"/>
                      <w:sz w:val="21"/>
                      <w:szCs w:val="21"/>
                      <w:lang w:eastAsia="zh-CN"/>
                    </w:rPr>
                    <w:t>序号</w:t>
                  </w:r>
                </w:p>
              </w:tc>
              <w:tc>
                <w:tcPr>
                  <w:tcW w:w="722" w:type="dxa"/>
                  <w:vMerge w:val="restart"/>
                  <w:tcBorders>
                    <w:tl2br w:val="nil"/>
                    <w:tr2bl w:val="nil"/>
                  </w:tcBorders>
                  <w:vAlign w:val="center"/>
                </w:tcPr>
                <w:p>
                  <w:pPr>
                    <w:pStyle w:val="49"/>
                    <w:autoSpaceDE w:val="0"/>
                    <w:autoSpaceDN w:val="0"/>
                    <w:jc w:val="center"/>
                    <w:rPr>
                      <w:rFonts w:ascii="Times New Roman" w:hAnsi="Times New Roman"/>
                      <w:b/>
                      <w:bCs/>
                      <w:color w:val="auto"/>
                      <w:kern w:val="0"/>
                      <w:sz w:val="21"/>
                      <w:szCs w:val="21"/>
                      <w:lang w:eastAsia="zh-CN"/>
                    </w:rPr>
                  </w:pPr>
                  <w:r>
                    <w:rPr>
                      <w:rFonts w:ascii="Times New Roman" w:hAnsi="Times New Roman"/>
                      <w:b/>
                      <w:bCs/>
                      <w:color w:val="auto"/>
                      <w:kern w:val="0"/>
                      <w:sz w:val="21"/>
                      <w:szCs w:val="21"/>
                      <w:lang w:eastAsia="zh-CN"/>
                    </w:rPr>
                    <w:t>产排污环节</w:t>
                  </w:r>
                </w:p>
              </w:tc>
              <w:tc>
                <w:tcPr>
                  <w:tcW w:w="748" w:type="dxa"/>
                  <w:vMerge w:val="restart"/>
                  <w:tcBorders>
                    <w:tl2br w:val="nil"/>
                    <w:tr2bl w:val="nil"/>
                  </w:tcBorders>
                  <w:vAlign w:val="center"/>
                </w:tcPr>
                <w:p>
                  <w:pPr>
                    <w:pStyle w:val="49"/>
                    <w:autoSpaceDE w:val="0"/>
                    <w:autoSpaceDN w:val="0"/>
                    <w:jc w:val="center"/>
                    <w:rPr>
                      <w:rFonts w:ascii="Times New Roman" w:hAnsi="Times New Roman"/>
                      <w:b/>
                      <w:bCs/>
                      <w:color w:val="auto"/>
                      <w:kern w:val="0"/>
                      <w:sz w:val="21"/>
                      <w:szCs w:val="21"/>
                      <w:lang w:eastAsia="zh-CN"/>
                    </w:rPr>
                  </w:pPr>
                  <w:r>
                    <w:rPr>
                      <w:rFonts w:ascii="Times New Roman" w:hAnsi="Times New Roman"/>
                      <w:b/>
                      <w:bCs/>
                      <w:color w:val="auto"/>
                      <w:kern w:val="0"/>
                      <w:sz w:val="21"/>
                      <w:szCs w:val="21"/>
                      <w:lang w:eastAsia="zh-CN"/>
                    </w:rPr>
                    <w:t>污染物种类</w:t>
                  </w:r>
                </w:p>
              </w:tc>
              <w:tc>
                <w:tcPr>
                  <w:tcW w:w="1767" w:type="dxa"/>
                  <w:gridSpan w:val="2"/>
                  <w:tcBorders>
                    <w:tl2br w:val="nil"/>
                    <w:tr2bl w:val="nil"/>
                  </w:tcBorders>
                  <w:vAlign w:val="center"/>
                </w:tcPr>
                <w:p>
                  <w:pPr>
                    <w:pStyle w:val="41"/>
                    <w:jc w:val="center"/>
                    <w:rPr>
                      <w:rFonts w:eastAsia="宋体"/>
                      <w:b/>
                      <w:bCs/>
                      <w:color w:val="auto"/>
                      <w:sz w:val="21"/>
                      <w:szCs w:val="21"/>
                      <w:lang w:eastAsia="zh-CN"/>
                    </w:rPr>
                  </w:pPr>
                  <w:r>
                    <w:rPr>
                      <w:rFonts w:eastAsia="宋体"/>
                      <w:b/>
                      <w:bCs/>
                      <w:color w:val="auto"/>
                      <w:sz w:val="21"/>
                      <w:szCs w:val="21"/>
                      <w:lang w:eastAsia="zh-CN"/>
                    </w:rPr>
                    <w:t>排放速率/(kg/h)</w:t>
                  </w:r>
                </w:p>
              </w:tc>
              <w:tc>
                <w:tcPr>
                  <w:tcW w:w="1477" w:type="dxa"/>
                  <w:gridSpan w:val="2"/>
                  <w:tcBorders>
                    <w:tl2br w:val="nil"/>
                    <w:tr2bl w:val="nil"/>
                  </w:tcBorders>
                  <w:vAlign w:val="center"/>
                </w:tcPr>
                <w:p>
                  <w:pPr>
                    <w:pStyle w:val="49"/>
                    <w:autoSpaceDE w:val="0"/>
                    <w:autoSpaceDN w:val="0"/>
                    <w:jc w:val="center"/>
                    <w:rPr>
                      <w:rFonts w:ascii="Times New Roman" w:hAnsi="Times New Roman"/>
                      <w:b/>
                      <w:bCs/>
                      <w:color w:val="auto"/>
                      <w:kern w:val="0"/>
                      <w:sz w:val="21"/>
                      <w:szCs w:val="21"/>
                      <w:lang w:eastAsia="zh-CN"/>
                    </w:rPr>
                  </w:pPr>
                  <w:r>
                    <w:rPr>
                      <w:rFonts w:ascii="Times New Roman" w:hAnsi="Times New Roman"/>
                      <w:b/>
                      <w:bCs/>
                      <w:color w:val="auto"/>
                      <w:kern w:val="0"/>
                      <w:sz w:val="21"/>
                      <w:szCs w:val="21"/>
                      <w:lang w:eastAsia="zh-CN"/>
                    </w:rPr>
                    <w:t>排放浓度</w:t>
                  </w:r>
                </w:p>
                <w:p>
                  <w:pPr>
                    <w:pStyle w:val="41"/>
                    <w:jc w:val="center"/>
                    <w:rPr>
                      <w:rFonts w:eastAsia="宋体"/>
                      <w:b/>
                      <w:bCs/>
                      <w:color w:val="auto"/>
                      <w:sz w:val="21"/>
                      <w:szCs w:val="21"/>
                      <w:lang w:eastAsia="zh-CN"/>
                    </w:rPr>
                  </w:pPr>
                  <w:r>
                    <w:rPr>
                      <w:rFonts w:eastAsia="宋体"/>
                      <w:b/>
                      <w:bCs/>
                      <w:color w:val="auto"/>
                      <w:sz w:val="21"/>
                      <w:szCs w:val="21"/>
                      <w:lang w:eastAsia="zh-CN"/>
                    </w:rPr>
                    <w:t>/(mg/m</w:t>
                  </w:r>
                  <w:r>
                    <w:rPr>
                      <w:rFonts w:eastAsia="宋体"/>
                      <w:b/>
                      <w:bCs/>
                      <w:color w:val="auto"/>
                      <w:sz w:val="21"/>
                      <w:szCs w:val="21"/>
                      <w:vertAlign w:val="superscript"/>
                      <w:lang w:eastAsia="zh-CN"/>
                    </w:rPr>
                    <w:t>3</w:t>
                  </w:r>
                  <w:r>
                    <w:rPr>
                      <w:rFonts w:eastAsia="宋体"/>
                      <w:b/>
                      <w:bCs/>
                      <w:color w:val="auto"/>
                      <w:sz w:val="21"/>
                      <w:szCs w:val="21"/>
                      <w:lang w:eastAsia="zh-CN"/>
                    </w:rPr>
                    <w:t>)</w:t>
                  </w:r>
                </w:p>
              </w:tc>
              <w:tc>
                <w:tcPr>
                  <w:tcW w:w="823" w:type="dxa"/>
                  <w:vMerge w:val="restart"/>
                  <w:tcBorders>
                    <w:tl2br w:val="nil"/>
                    <w:tr2bl w:val="nil"/>
                  </w:tcBorders>
                  <w:vAlign w:val="center"/>
                </w:tcPr>
                <w:p>
                  <w:pPr>
                    <w:pStyle w:val="49"/>
                    <w:autoSpaceDE w:val="0"/>
                    <w:autoSpaceDN w:val="0"/>
                    <w:jc w:val="center"/>
                    <w:rPr>
                      <w:rFonts w:ascii="Times New Roman" w:hAnsi="Times New Roman"/>
                      <w:b/>
                      <w:bCs/>
                      <w:color w:val="auto"/>
                      <w:kern w:val="0"/>
                      <w:sz w:val="21"/>
                      <w:szCs w:val="21"/>
                      <w:lang w:eastAsia="zh-CN"/>
                    </w:rPr>
                  </w:pPr>
                  <w:r>
                    <w:rPr>
                      <w:rFonts w:ascii="Times New Roman" w:hAnsi="Times New Roman"/>
                      <w:b/>
                      <w:bCs/>
                      <w:color w:val="auto"/>
                      <w:kern w:val="0"/>
                      <w:sz w:val="21"/>
                      <w:szCs w:val="21"/>
                      <w:lang w:eastAsia="zh-CN"/>
                    </w:rPr>
                    <w:t>达标分析</w:t>
                  </w:r>
                </w:p>
              </w:tc>
              <w:tc>
                <w:tcPr>
                  <w:tcW w:w="1085" w:type="dxa"/>
                  <w:vMerge w:val="restart"/>
                  <w:tcBorders>
                    <w:tl2br w:val="nil"/>
                    <w:tr2bl w:val="nil"/>
                  </w:tcBorders>
                  <w:vAlign w:val="center"/>
                </w:tcPr>
                <w:p>
                  <w:pPr>
                    <w:pStyle w:val="41"/>
                    <w:jc w:val="center"/>
                    <w:rPr>
                      <w:rFonts w:eastAsia="宋体"/>
                      <w:b/>
                      <w:bCs/>
                      <w:color w:val="auto"/>
                      <w:sz w:val="21"/>
                      <w:szCs w:val="21"/>
                      <w:lang w:eastAsia="zh-CN"/>
                    </w:rPr>
                  </w:pPr>
                  <w:r>
                    <w:rPr>
                      <w:rFonts w:eastAsia="宋体"/>
                      <w:b/>
                      <w:bCs/>
                      <w:color w:val="auto"/>
                      <w:sz w:val="21"/>
                      <w:szCs w:val="21"/>
                      <w:lang w:eastAsia="zh-CN"/>
                    </w:rPr>
                    <w:t>排放方式</w:t>
                  </w:r>
                </w:p>
              </w:tc>
              <w:tc>
                <w:tcPr>
                  <w:tcW w:w="1509" w:type="dxa"/>
                  <w:vMerge w:val="restart"/>
                  <w:tcBorders>
                    <w:tl2br w:val="nil"/>
                    <w:tr2bl w:val="nil"/>
                  </w:tcBorders>
                  <w:vAlign w:val="center"/>
                </w:tcPr>
                <w:p>
                  <w:pPr>
                    <w:pStyle w:val="49"/>
                    <w:autoSpaceDE w:val="0"/>
                    <w:autoSpaceDN w:val="0"/>
                    <w:jc w:val="center"/>
                    <w:rPr>
                      <w:rFonts w:ascii="Times New Roman" w:hAnsi="Times New Roman"/>
                      <w:b/>
                      <w:bCs/>
                      <w:color w:val="auto"/>
                      <w:kern w:val="0"/>
                      <w:sz w:val="21"/>
                      <w:szCs w:val="21"/>
                      <w:lang w:eastAsia="zh-CN"/>
                    </w:rPr>
                  </w:pPr>
                  <w:r>
                    <w:rPr>
                      <w:rFonts w:ascii="Times New Roman" w:hAnsi="Times New Roman"/>
                      <w:b/>
                      <w:bCs/>
                      <w:color w:val="auto"/>
                      <w:kern w:val="0"/>
                      <w:sz w:val="21"/>
                      <w:szCs w:val="21"/>
                      <w:lang w:eastAsia="zh-CN"/>
                    </w:rPr>
                    <w:t>排放</w:t>
                  </w:r>
                  <w:r>
                    <w:rPr>
                      <w:rFonts w:ascii="Times New Roman" w:hAnsi="Times New Roman"/>
                      <w:b/>
                      <w:bCs/>
                      <w:color w:val="auto"/>
                      <w:kern w:val="2"/>
                      <w:sz w:val="21"/>
                      <w:szCs w:val="21"/>
                      <w:lang w:eastAsia="zh-CN"/>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457" w:type="dxa"/>
                  <w:vMerge w:val="continue"/>
                  <w:tcBorders>
                    <w:tl2br w:val="nil"/>
                    <w:tr2bl w:val="nil"/>
                  </w:tcBorders>
                  <w:vAlign w:val="center"/>
                </w:tcPr>
                <w:p>
                  <w:pPr>
                    <w:autoSpaceDE w:val="0"/>
                    <w:autoSpaceDN w:val="0"/>
                    <w:jc w:val="center"/>
                    <w:rPr>
                      <w:rFonts w:ascii="Times New Roman" w:hAnsi="Times New Roman" w:eastAsia="宋体" w:cs="Times New Roman"/>
                      <w:b/>
                      <w:bCs/>
                      <w:color w:val="auto"/>
                      <w:kern w:val="0"/>
                      <w:sz w:val="21"/>
                      <w:szCs w:val="21"/>
                      <w:lang w:eastAsia="zh-CN"/>
                    </w:rPr>
                  </w:pPr>
                </w:p>
              </w:tc>
              <w:tc>
                <w:tcPr>
                  <w:tcW w:w="722" w:type="dxa"/>
                  <w:vMerge w:val="continue"/>
                  <w:tcBorders>
                    <w:tl2br w:val="nil"/>
                    <w:tr2bl w:val="nil"/>
                  </w:tcBorders>
                  <w:vAlign w:val="center"/>
                </w:tcPr>
                <w:p>
                  <w:pPr>
                    <w:autoSpaceDE w:val="0"/>
                    <w:autoSpaceDN w:val="0"/>
                    <w:jc w:val="center"/>
                    <w:rPr>
                      <w:rFonts w:ascii="Times New Roman" w:hAnsi="Times New Roman" w:eastAsia="宋体" w:cs="Times New Roman"/>
                      <w:b/>
                      <w:bCs/>
                      <w:color w:val="auto"/>
                      <w:kern w:val="0"/>
                      <w:sz w:val="21"/>
                      <w:szCs w:val="21"/>
                      <w:lang w:eastAsia="zh-CN"/>
                    </w:rPr>
                  </w:pPr>
                </w:p>
              </w:tc>
              <w:tc>
                <w:tcPr>
                  <w:tcW w:w="748" w:type="dxa"/>
                  <w:vMerge w:val="continue"/>
                  <w:tcBorders>
                    <w:tl2br w:val="nil"/>
                    <w:tr2bl w:val="nil"/>
                  </w:tcBorders>
                  <w:vAlign w:val="center"/>
                </w:tcPr>
                <w:p>
                  <w:pPr>
                    <w:autoSpaceDE w:val="0"/>
                    <w:autoSpaceDN w:val="0"/>
                    <w:jc w:val="center"/>
                    <w:rPr>
                      <w:rFonts w:ascii="Times New Roman" w:hAnsi="Times New Roman" w:eastAsia="宋体" w:cs="Times New Roman"/>
                      <w:b/>
                      <w:bCs/>
                      <w:color w:val="auto"/>
                      <w:kern w:val="0"/>
                      <w:sz w:val="21"/>
                      <w:szCs w:val="21"/>
                      <w:lang w:eastAsia="zh-CN"/>
                    </w:rPr>
                  </w:pPr>
                </w:p>
              </w:tc>
              <w:tc>
                <w:tcPr>
                  <w:tcW w:w="1081" w:type="dxa"/>
                  <w:tcBorders>
                    <w:tl2br w:val="nil"/>
                    <w:tr2bl w:val="nil"/>
                  </w:tcBorders>
                  <w:vAlign w:val="center"/>
                </w:tcPr>
                <w:p>
                  <w:pPr>
                    <w:pStyle w:val="41"/>
                    <w:jc w:val="center"/>
                    <w:rPr>
                      <w:rFonts w:eastAsia="宋体"/>
                      <w:b/>
                      <w:bCs/>
                      <w:color w:val="auto"/>
                      <w:sz w:val="21"/>
                      <w:szCs w:val="21"/>
                      <w:lang w:eastAsia="zh-CN"/>
                    </w:rPr>
                  </w:pPr>
                </w:p>
                <w:p>
                  <w:pPr>
                    <w:pStyle w:val="41"/>
                    <w:jc w:val="center"/>
                    <w:rPr>
                      <w:rFonts w:eastAsia="宋体"/>
                      <w:b/>
                      <w:bCs/>
                      <w:color w:val="auto"/>
                      <w:sz w:val="21"/>
                      <w:szCs w:val="21"/>
                      <w:lang w:eastAsia="zh-CN"/>
                    </w:rPr>
                  </w:pPr>
                  <w:r>
                    <w:rPr>
                      <w:rFonts w:eastAsia="宋体"/>
                      <w:b/>
                      <w:bCs/>
                      <w:color w:val="auto"/>
                      <w:sz w:val="21"/>
                      <w:szCs w:val="21"/>
                      <w:lang w:eastAsia="zh-CN"/>
                    </w:rPr>
                    <w:t>本项目</w:t>
                  </w:r>
                </w:p>
              </w:tc>
              <w:tc>
                <w:tcPr>
                  <w:tcW w:w="686" w:type="dxa"/>
                  <w:tcBorders>
                    <w:tl2br w:val="nil"/>
                    <w:tr2bl w:val="nil"/>
                  </w:tcBorders>
                  <w:vAlign w:val="center"/>
                </w:tcPr>
                <w:p>
                  <w:pPr>
                    <w:pStyle w:val="41"/>
                    <w:jc w:val="center"/>
                    <w:rPr>
                      <w:rFonts w:eastAsia="宋体"/>
                      <w:b/>
                      <w:bCs/>
                      <w:color w:val="auto"/>
                      <w:sz w:val="21"/>
                      <w:szCs w:val="21"/>
                      <w:lang w:eastAsia="zh-CN"/>
                    </w:rPr>
                  </w:pPr>
                  <w:r>
                    <w:rPr>
                      <w:rFonts w:eastAsia="宋体"/>
                      <w:b/>
                      <w:bCs/>
                      <w:color w:val="auto"/>
                      <w:sz w:val="21"/>
                      <w:szCs w:val="21"/>
                      <w:lang w:eastAsia="zh-CN"/>
                    </w:rPr>
                    <w:t>标准</w:t>
                  </w:r>
                </w:p>
                <w:p>
                  <w:pPr>
                    <w:pStyle w:val="41"/>
                    <w:jc w:val="center"/>
                    <w:rPr>
                      <w:rFonts w:eastAsia="宋体"/>
                      <w:b/>
                      <w:bCs/>
                      <w:color w:val="auto"/>
                      <w:sz w:val="21"/>
                      <w:szCs w:val="21"/>
                      <w:lang w:eastAsia="zh-CN"/>
                    </w:rPr>
                  </w:pPr>
                  <w:r>
                    <w:rPr>
                      <w:rFonts w:eastAsia="宋体"/>
                      <w:b/>
                      <w:bCs/>
                      <w:color w:val="auto"/>
                      <w:w w:val="99"/>
                      <w:sz w:val="21"/>
                      <w:szCs w:val="21"/>
                      <w:lang w:eastAsia="zh-CN"/>
                    </w:rPr>
                    <w:t>值</w:t>
                  </w:r>
                </w:p>
              </w:tc>
              <w:tc>
                <w:tcPr>
                  <w:tcW w:w="748" w:type="dxa"/>
                  <w:tcBorders>
                    <w:tl2br w:val="nil"/>
                    <w:tr2bl w:val="nil"/>
                  </w:tcBorders>
                  <w:vAlign w:val="center"/>
                </w:tcPr>
                <w:p>
                  <w:pPr>
                    <w:pStyle w:val="41"/>
                    <w:jc w:val="center"/>
                    <w:rPr>
                      <w:rFonts w:eastAsia="宋体"/>
                      <w:b/>
                      <w:bCs/>
                      <w:color w:val="auto"/>
                      <w:sz w:val="21"/>
                      <w:szCs w:val="21"/>
                      <w:lang w:eastAsia="zh-CN"/>
                    </w:rPr>
                  </w:pPr>
                  <w:r>
                    <w:rPr>
                      <w:rFonts w:eastAsia="宋体"/>
                      <w:b/>
                      <w:bCs/>
                      <w:color w:val="auto"/>
                      <w:sz w:val="21"/>
                      <w:szCs w:val="21"/>
                      <w:lang w:eastAsia="zh-CN"/>
                    </w:rPr>
                    <w:t>本项</w:t>
                  </w:r>
                </w:p>
                <w:p>
                  <w:pPr>
                    <w:pStyle w:val="41"/>
                    <w:jc w:val="center"/>
                    <w:rPr>
                      <w:rFonts w:eastAsia="宋体"/>
                      <w:b/>
                      <w:bCs/>
                      <w:color w:val="auto"/>
                      <w:sz w:val="21"/>
                      <w:szCs w:val="21"/>
                      <w:lang w:eastAsia="zh-CN"/>
                    </w:rPr>
                  </w:pPr>
                  <w:r>
                    <w:rPr>
                      <w:rFonts w:eastAsia="宋体"/>
                      <w:b/>
                      <w:bCs/>
                      <w:color w:val="auto"/>
                      <w:w w:val="99"/>
                      <w:sz w:val="21"/>
                      <w:szCs w:val="21"/>
                      <w:lang w:eastAsia="zh-CN"/>
                    </w:rPr>
                    <w:t>目</w:t>
                  </w:r>
                </w:p>
              </w:tc>
              <w:tc>
                <w:tcPr>
                  <w:tcW w:w="729" w:type="dxa"/>
                  <w:tcBorders>
                    <w:tl2br w:val="nil"/>
                    <w:tr2bl w:val="nil"/>
                  </w:tcBorders>
                  <w:vAlign w:val="center"/>
                </w:tcPr>
                <w:p>
                  <w:pPr>
                    <w:pStyle w:val="41"/>
                    <w:jc w:val="center"/>
                    <w:rPr>
                      <w:rFonts w:eastAsia="宋体"/>
                      <w:b/>
                      <w:bCs/>
                      <w:color w:val="auto"/>
                      <w:sz w:val="21"/>
                      <w:szCs w:val="21"/>
                      <w:lang w:eastAsia="zh-CN"/>
                    </w:rPr>
                  </w:pPr>
                  <w:r>
                    <w:rPr>
                      <w:rFonts w:eastAsia="宋体"/>
                      <w:b/>
                      <w:bCs/>
                      <w:color w:val="auto"/>
                      <w:sz w:val="21"/>
                      <w:szCs w:val="21"/>
                      <w:lang w:eastAsia="zh-CN"/>
                    </w:rPr>
                    <w:t>标准</w:t>
                  </w:r>
                </w:p>
                <w:p>
                  <w:pPr>
                    <w:pStyle w:val="41"/>
                    <w:jc w:val="center"/>
                    <w:rPr>
                      <w:rFonts w:eastAsia="宋体"/>
                      <w:b/>
                      <w:bCs/>
                      <w:color w:val="auto"/>
                      <w:sz w:val="21"/>
                      <w:szCs w:val="21"/>
                      <w:lang w:eastAsia="zh-CN"/>
                    </w:rPr>
                  </w:pPr>
                  <w:r>
                    <w:rPr>
                      <w:rFonts w:eastAsia="宋体"/>
                      <w:b/>
                      <w:bCs/>
                      <w:color w:val="auto"/>
                      <w:w w:val="99"/>
                      <w:sz w:val="21"/>
                      <w:szCs w:val="21"/>
                      <w:lang w:eastAsia="zh-CN"/>
                    </w:rPr>
                    <w:t>值</w:t>
                  </w:r>
                </w:p>
              </w:tc>
              <w:tc>
                <w:tcPr>
                  <w:tcW w:w="823" w:type="dxa"/>
                  <w:vMerge w:val="continue"/>
                  <w:tcBorders>
                    <w:tl2br w:val="nil"/>
                    <w:tr2bl w:val="nil"/>
                  </w:tcBorders>
                  <w:vAlign w:val="center"/>
                </w:tcPr>
                <w:p>
                  <w:pPr>
                    <w:autoSpaceDE w:val="0"/>
                    <w:autoSpaceDN w:val="0"/>
                    <w:jc w:val="center"/>
                    <w:rPr>
                      <w:rFonts w:ascii="Times New Roman" w:hAnsi="Times New Roman" w:eastAsia="宋体" w:cs="Times New Roman"/>
                      <w:color w:val="auto"/>
                      <w:kern w:val="0"/>
                      <w:sz w:val="21"/>
                      <w:szCs w:val="21"/>
                      <w:lang w:eastAsia="zh-CN"/>
                    </w:rPr>
                  </w:pPr>
                </w:p>
              </w:tc>
              <w:tc>
                <w:tcPr>
                  <w:tcW w:w="1085" w:type="dxa"/>
                  <w:vMerge w:val="continue"/>
                  <w:tcBorders>
                    <w:tl2br w:val="nil"/>
                    <w:tr2bl w:val="nil"/>
                  </w:tcBorders>
                  <w:vAlign w:val="center"/>
                </w:tcPr>
                <w:p>
                  <w:pPr>
                    <w:autoSpaceDE w:val="0"/>
                    <w:autoSpaceDN w:val="0"/>
                    <w:jc w:val="center"/>
                    <w:rPr>
                      <w:rFonts w:ascii="Times New Roman" w:hAnsi="Times New Roman" w:eastAsia="宋体" w:cs="Times New Roman"/>
                      <w:color w:val="auto"/>
                      <w:kern w:val="0"/>
                      <w:sz w:val="21"/>
                      <w:szCs w:val="21"/>
                      <w:lang w:eastAsia="zh-CN"/>
                    </w:rPr>
                  </w:pPr>
                </w:p>
              </w:tc>
              <w:tc>
                <w:tcPr>
                  <w:tcW w:w="1509" w:type="dxa"/>
                  <w:vMerge w:val="continue"/>
                  <w:tcBorders>
                    <w:tl2br w:val="nil"/>
                    <w:tr2bl w:val="nil"/>
                  </w:tcBorders>
                  <w:vAlign w:val="center"/>
                </w:tcPr>
                <w:p>
                  <w:pPr>
                    <w:autoSpaceDE w:val="0"/>
                    <w:autoSpaceDN w:val="0"/>
                    <w:jc w:val="center"/>
                    <w:rPr>
                      <w:rFonts w:ascii="Times New Roman" w:hAnsi="Times New Roman" w:eastAsia="宋体" w:cs="Times New Roman"/>
                      <w:color w:val="auto"/>
                      <w:kern w:val="0"/>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457" w:type="dxa"/>
                  <w:tcBorders>
                    <w:tl2br w:val="nil"/>
                    <w:tr2bl w:val="nil"/>
                  </w:tcBorders>
                  <w:vAlign w:val="center"/>
                </w:tcPr>
                <w:p>
                  <w:pPr>
                    <w:pStyle w:val="49"/>
                    <w:autoSpaceDE/>
                    <w:autoSpaceDN/>
                    <w:jc w:val="center"/>
                    <w:rPr>
                      <w:rFonts w:ascii="Times New Roman" w:hAnsi="Times New Roman"/>
                      <w:color w:val="auto"/>
                      <w:kern w:val="2"/>
                      <w:sz w:val="21"/>
                      <w:szCs w:val="21"/>
                      <w:lang w:eastAsia="zh-CN"/>
                    </w:rPr>
                  </w:pPr>
                  <w:r>
                    <w:rPr>
                      <w:rFonts w:ascii="Times New Roman" w:hAnsi="Times New Roman"/>
                      <w:color w:val="auto"/>
                      <w:kern w:val="2"/>
                      <w:sz w:val="21"/>
                      <w:szCs w:val="21"/>
                      <w:lang w:eastAsia="zh-CN"/>
                    </w:rPr>
                    <w:t>1</w:t>
                  </w:r>
                </w:p>
              </w:tc>
              <w:tc>
                <w:tcPr>
                  <w:tcW w:w="722" w:type="dxa"/>
                  <w:vMerge w:val="restart"/>
                  <w:tcBorders>
                    <w:tl2br w:val="nil"/>
                    <w:tr2bl w:val="nil"/>
                  </w:tcBorders>
                  <w:vAlign w:val="center"/>
                </w:tcPr>
                <w:p>
                  <w:pPr>
                    <w:pStyle w:val="41"/>
                    <w:jc w:val="center"/>
                    <w:rPr>
                      <w:rFonts w:eastAsia="宋体"/>
                      <w:color w:val="auto"/>
                      <w:sz w:val="21"/>
                      <w:szCs w:val="21"/>
                      <w:lang w:eastAsia="zh-CN"/>
                    </w:rPr>
                  </w:pPr>
                  <w:r>
                    <w:rPr>
                      <w:rFonts w:eastAsia="宋体"/>
                      <w:color w:val="auto"/>
                      <w:sz w:val="21"/>
                      <w:szCs w:val="21"/>
                      <w:lang w:eastAsia="zh-CN"/>
                    </w:rPr>
                    <w:t>废水处理设施</w:t>
                  </w:r>
                </w:p>
              </w:tc>
              <w:tc>
                <w:tcPr>
                  <w:tcW w:w="748" w:type="dxa"/>
                  <w:tcBorders>
                    <w:tl2br w:val="nil"/>
                    <w:tr2bl w:val="nil"/>
                  </w:tcBorders>
                  <w:vAlign w:val="center"/>
                </w:tcPr>
                <w:p>
                  <w:pPr>
                    <w:pStyle w:val="41"/>
                    <w:jc w:val="center"/>
                    <w:rPr>
                      <w:rFonts w:eastAsia="宋体"/>
                      <w:color w:val="auto"/>
                      <w:sz w:val="21"/>
                      <w:szCs w:val="21"/>
                      <w:lang w:eastAsia="zh-CN"/>
                    </w:rPr>
                  </w:pPr>
                  <w:r>
                    <w:rPr>
                      <w:rFonts w:eastAsia="宋体"/>
                      <w:color w:val="auto"/>
                      <w:w w:val="99"/>
                      <w:sz w:val="21"/>
                      <w:szCs w:val="21"/>
                      <w:lang w:eastAsia="zh-CN"/>
                    </w:rPr>
                    <w:t>氨</w:t>
                  </w:r>
                </w:p>
              </w:tc>
              <w:tc>
                <w:tcPr>
                  <w:tcW w:w="1081" w:type="dxa"/>
                  <w:tcBorders>
                    <w:tl2br w:val="nil"/>
                    <w:tr2bl w:val="nil"/>
                  </w:tcBorders>
                  <w:vAlign w:val="center"/>
                </w:tcPr>
                <w:p>
                  <w:pPr>
                    <w:pStyle w:val="49"/>
                    <w:autoSpaceDE w:val="0"/>
                    <w:autoSpaceDN w:val="0"/>
                    <w:jc w:val="center"/>
                    <w:rPr>
                      <w:rFonts w:eastAsia="宋体"/>
                      <w:color w:val="auto"/>
                      <w:sz w:val="21"/>
                      <w:szCs w:val="21"/>
                      <w:lang w:eastAsia="zh-CN"/>
                    </w:rPr>
                  </w:pPr>
                  <w:r>
                    <w:rPr>
                      <w:rFonts w:ascii="Times New Roman" w:hAnsi="Times New Roman"/>
                      <w:color w:val="auto"/>
                      <w:szCs w:val="21"/>
                    </w:rPr>
                    <w:t>0.</w:t>
                  </w:r>
                  <w:r>
                    <w:rPr>
                      <w:rFonts w:hint="eastAsia" w:ascii="Times New Roman" w:hAnsi="Times New Roman"/>
                      <w:color w:val="auto"/>
                      <w:szCs w:val="21"/>
                      <w:lang w:val="en-US" w:eastAsia="zh-CN"/>
                    </w:rPr>
                    <w:t>15066</w:t>
                  </w:r>
                </w:p>
              </w:tc>
              <w:tc>
                <w:tcPr>
                  <w:tcW w:w="686" w:type="dxa"/>
                  <w:tcBorders>
                    <w:tl2br w:val="nil"/>
                    <w:tr2bl w:val="nil"/>
                  </w:tcBorders>
                  <w:vAlign w:val="center"/>
                </w:tcPr>
                <w:p>
                  <w:pPr>
                    <w:pStyle w:val="41"/>
                    <w:jc w:val="center"/>
                    <w:rPr>
                      <w:rFonts w:eastAsia="宋体"/>
                      <w:color w:val="auto"/>
                      <w:sz w:val="21"/>
                      <w:szCs w:val="21"/>
                      <w:lang w:eastAsia="zh-CN"/>
                    </w:rPr>
                  </w:pPr>
                  <w:r>
                    <w:rPr>
                      <w:rFonts w:eastAsia="宋体"/>
                      <w:color w:val="auto"/>
                      <w:sz w:val="21"/>
                      <w:szCs w:val="21"/>
                      <w:lang w:eastAsia="zh-CN"/>
                    </w:rPr>
                    <w:t>4.9</w:t>
                  </w:r>
                </w:p>
              </w:tc>
              <w:tc>
                <w:tcPr>
                  <w:tcW w:w="748" w:type="dxa"/>
                  <w:tcBorders>
                    <w:tl2br w:val="nil"/>
                    <w:tr2bl w:val="nil"/>
                  </w:tcBorders>
                  <w:vAlign w:val="center"/>
                </w:tcPr>
                <w:p>
                  <w:pPr>
                    <w:pStyle w:val="41"/>
                    <w:jc w:val="center"/>
                    <w:rPr>
                      <w:rFonts w:eastAsia="宋体"/>
                      <w:color w:val="auto"/>
                      <w:sz w:val="21"/>
                      <w:szCs w:val="21"/>
                      <w:lang w:eastAsia="zh-CN"/>
                    </w:rPr>
                  </w:pPr>
                  <w:r>
                    <w:rPr>
                      <w:rFonts w:hint="eastAsia" w:eastAsia="宋体"/>
                      <w:color w:val="auto"/>
                      <w:sz w:val="21"/>
                      <w:szCs w:val="21"/>
                      <w:lang w:val="en-US" w:eastAsia="zh-CN"/>
                    </w:rPr>
                    <w:t>5.022</w:t>
                  </w:r>
                </w:p>
              </w:tc>
              <w:tc>
                <w:tcPr>
                  <w:tcW w:w="729" w:type="dxa"/>
                  <w:tcBorders>
                    <w:tl2br w:val="nil"/>
                    <w:tr2bl w:val="nil"/>
                  </w:tcBorders>
                  <w:vAlign w:val="center"/>
                </w:tcPr>
                <w:p>
                  <w:pPr>
                    <w:pStyle w:val="41"/>
                    <w:jc w:val="center"/>
                    <w:rPr>
                      <w:rFonts w:eastAsia="宋体"/>
                      <w:color w:val="auto"/>
                      <w:sz w:val="21"/>
                      <w:szCs w:val="21"/>
                      <w:lang w:eastAsia="zh-CN"/>
                    </w:rPr>
                  </w:pPr>
                  <w:r>
                    <w:rPr>
                      <w:rFonts w:eastAsia="宋体"/>
                      <w:color w:val="auto"/>
                      <w:sz w:val="21"/>
                      <w:szCs w:val="21"/>
                      <w:lang w:eastAsia="zh-CN"/>
                    </w:rPr>
                    <w:t>20</w:t>
                  </w:r>
                </w:p>
              </w:tc>
              <w:tc>
                <w:tcPr>
                  <w:tcW w:w="823" w:type="dxa"/>
                  <w:tcBorders>
                    <w:tl2br w:val="nil"/>
                    <w:tr2bl w:val="nil"/>
                  </w:tcBorders>
                  <w:vAlign w:val="center"/>
                </w:tcPr>
                <w:p>
                  <w:pPr>
                    <w:pStyle w:val="41"/>
                    <w:jc w:val="center"/>
                    <w:rPr>
                      <w:rFonts w:eastAsia="宋体"/>
                      <w:color w:val="auto"/>
                      <w:sz w:val="21"/>
                      <w:szCs w:val="21"/>
                      <w:lang w:eastAsia="zh-CN"/>
                    </w:rPr>
                  </w:pPr>
                  <w:r>
                    <w:rPr>
                      <w:rFonts w:eastAsia="宋体"/>
                      <w:color w:val="auto"/>
                      <w:sz w:val="21"/>
                      <w:szCs w:val="21"/>
                      <w:lang w:eastAsia="zh-CN"/>
                    </w:rPr>
                    <w:t>达标</w:t>
                  </w:r>
                </w:p>
              </w:tc>
              <w:tc>
                <w:tcPr>
                  <w:tcW w:w="1085" w:type="dxa"/>
                  <w:tcBorders>
                    <w:tl2br w:val="nil"/>
                    <w:tr2bl w:val="nil"/>
                  </w:tcBorders>
                  <w:vAlign w:val="center"/>
                </w:tcPr>
                <w:p>
                  <w:pPr>
                    <w:pStyle w:val="41"/>
                    <w:jc w:val="center"/>
                    <w:rPr>
                      <w:rFonts w:eastAsia="宋体"/>
                      <w:color w:val="auto"/>
                      <w:sz w:val="21"/>
                      <w:szCs w:val="21"/>
                      <w:lang w:eastAsia="zh-CN"/>
                    </w:rPr>
                  </w:pPr>
                  <w:r>
                    <w:rPr>
                      <w:rFonts w:eastAsia="宋体"/>
                      <w:color w:val="auto"/>
                      <w:sz w:val="21"/>
                      <w:szCs w:val="21"/>
                      <w:lang w:eastAsia="zh-CN"/>
                    </w:rPr>
                    <w:t>有组织</w:t>
                  </w:r>
                </w:p>
              </w:tc>
              <w:tc>
                <w:tcPr>
                  <w:tcW w:w="1509" w:type="dxa"/>
                  <w:tcBorders>
                    <w:tl2br w:val="nil"/>
                    <w:tr2bl w:val="nil"/>
                  </w:tcBorders>
                  <w:vAlign w:val="center"/>
                </w:tcPr>
                <w:p>
                  <w:pPr>
                    <w:pStyle w:val="49"/>
                    <w:autoSpaceDE/>
                    <w:autoSpaceDN/>
                    <w:jc w:val="center"/>
                    <w:rPr>
                      <w:rFonts w:ascii="Times New Roman" w:hAnsi="Times New Roman"/>
                      <w:color w:val="auto"/>
                      <w:kern w:val="2"/>
                      <w:sz w:val="21"/>
                      <w:szCs w:val="21"/>
                      <w:lang w:eastAsia="zh-CN"/>
                    </w:rPr>
                  </w:pPr>
                  <w:r>
                    <w:rPr>
                      <w:rFonts w:ascii="Times New Roman" w:hAnsi="Times New Roman"/>
                      <w:color w:val="auto"/>
                      <w:kern w:val="2"/>
                      <w:sz w:val="21"/>
                      <w:szCs w:val="21"/>
                      <w:lang w:eastAsia="zh-CN"/>
                    </w:rPr>
                    <w:t>GBZ 2.1-2019</w:t>
                  </w:r>
                </w:p>
                <w:p>
                  <w:pPr>
                    <w:pStyle w:val="49"/>
                    <w:autoSpaceDE/>
                    <w:autoSpaceDN/>
                    <w:jc w:val="center"/>
                    <w:rPr>
                      <w:rFonts w:ascii="Times New Roman" w:hAnsi="Times New Roman"/>
                      <w:color w:val="auto"/>
                      <w:kern w:val="2"/>
                      <w:sz w:val="21"/>
                      <w:szCs w:val="21"/>
                      <w:lang w:eastAsia="zh-CN"/>
                    </w:rPr>
                  </w:pPr>
                  <w:r>
                    <w:rPr>
                      <w:rFonts w:ascii="Times New Roman" w:hAnsi="Times New Roman"/>
                      <w:color w:val="auto"/>
                      <w:kern w:val="2"/>
                      <w:sz w:val="21"/>
                      <w:szCs w:val="21"/>
                      <w:lang w:eastAsia="zh-CN"/>
                    </w:rPr>
                    <w:t>GB 14554-93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457" w:type="dxa"/>
                  <w:tcBorders>
                    <w:tl2br w:val="nil"/>
                    <w:tr2bl w:val="nil"/>
                  </w:tcBorders>
                  <w:vAlign w:val="center"/>
                </w:tcPr>
                <w:p>
                  <w:pPr>
                    <w:pStyle w:val="49"/>
                    <w:autoSpaceDE/>
                    <w:autoSpaceDN/>
                    <w:jc w:val="center"/>
                    <w:rPr>
                      <w:rFonts w:ascii="Times New Roman" w:hAnsi="Times New Roman"/>
                      <w:color w:val="auto"/>
                      <w:kern w:val="2"/>
                      <w:sz w:val="21"/>
                      <w:szCs w:val="21"/>
                      <w:lang w:eastAsia="zh-CN"/>
                    </w:rPr>
                  </w:pPr>
                  <w:r>
                    <w:rPr>
                      <w:rFonts w:ascii="Times New Roman" w:hAnsi="Times New Roman"/>
                      <w:color w:val="auto"/>
                      <w:kern w:val="2"/>
                      <w:sz w:val="21"/>
                      <w:szCs w:val="21"/>
                      <w:lang w:eastAsia="zh-CN"/>
                    </w:rPr>
                    <w:t>2</w:t>
                  </w:r>
                </w:p>
              </w:tc>
              <w:tc>
                <w:tcPr>
                  <w:tcW w:w="722" w:type="dxa"/>
                  <w:vMerge w:val="continue"/>
                  <w:tcBorders>
                    <w:tl2br w:val="nil"/>
                    <w:tr2bl w:val="nil"/>
                  </w:tcBorders>
                  <w:vAlign w:val="center"/>
                </w:tcPr>
                <w:p>
                  <w:pPr>
                    <w:autoSpaceDE w:val="0"/>
                    <w:autoSpaceDN w:val="0"/>
                    <w:jc w:val="center"/>
                    <w:rPr>
                      <w:rFonts w:ascii="Times New Roman" w:hAnsi="Times New Roman" w:eastAsia="宋体" w:cs="Times New Roman"/>
                      <w:color w:val="auto"/>
                      <w:kern w:val="0"/>
                      <w:sz w:val="21"/>
                      <w:szCs w:val="21"/>
                      <w:lang w:eastAsia="zh-CN"/>
                    </w:rPr>
                  </w:pPr>
                </w:p>
              </w:tc>
              <w:tc>
                <w:tcPr>
                  <w:tcW w:w="748" w:type="dxa"/>
                  <w:tcBorders>
                    <w:tl2br w:val="nil"/>
                    <w:tr2bl w:val="nil"/>
                  </w:tcBorders>
                  <w:vAlign w:val="center"/>
                </w:tcPr>
                <w:p>
                  <w:pPr>
                    <w:pStyle w:val="41"/>
                    <w:jc w:val="center"/>
                    <w:rPr>
                      <w:rFonts w:eastAsia="宋体"/>
                      <w:color w:val="auto"/>
                      <w:sz w:val="21"/>
                      <w:szCs w:val="21"/>
                      <w:lang w:eastAsia="zh-CN"/>
                    </w:rPr>
                  </w:pPr>
                  <w:r>
                    <w:rPr>
                      <w:rFonts w:eastAsia="宋体"/>
                      <w:color w:val="auto"/>
                      <w:sz w:val="21"/>
                      <w:szCs w:val="21"/>
                      <w:lang w:eastAsia="zh-CN"/>
                    </w:rPr>
                    <w:t>硫化氢</w:t>
                  </w:r>
                </w:p>
              </w:tc>
              <w:tc>
                <w:tcPr>
                  <w:tcW w:w="1081" w:type="dxa"/>
                  <w:tcBorders>
                    <w:tl2br w:val="nil"/>
                    <w:tr2bl w:val="nil"/>
                  </w:tcBorders>
                  <w:vAlign w:val="center"/>
                </w:tcPr>
                <w:p>
                  <w:pPr>
                    <w:pStyle w:val="49"/>
                    <w:autoSpaceDE w:val="0"/>
                    <w:autoSpaceDN w:val="0"/>
                    <w:jc w:val="center"/>
                    <w:rPr>
                      <w:rFonts w:eastAsia="宋体"/>
                      <w:color w:val="auto"/>
                      <w:sz w:val="21"/>
                      <w:szCs w:val="21"/>
                      <w:lang w:eastAsia="zh-CN"/>
                    </w:rPr>
                  </w:pPr>
                  <w:r>
                    <w:rPr>
                      <w:rFonts w:ascii="Times New Roman" w:hAnsi="Times New Roman"/>
                      <w:color w:val="auto"/>
                      <w:szCs w:val="21"/>
                    </w:rPr>
                    <w:t>0.00</w:t>
                  </w:r>
                  <w:r>
                    <w:rPr>
                      <w:rFonts w:hint="eastAsia" w:ascii="Times New Roman" w:hAnsi="Times New Roman"/>
                      <w:color w:val="auto"/>
                      <w:szCs w:val="21"/>
                      <w:lang w:val="en-US" w:eastAsia="zh-CN"/>
                    </w:rPr>
                    <w:t>5832</w:t>
                  </w:r>
                </w:p>
              </w:tc>
              <w:tc>
                <w:tcPr>
                  <w:tcW w:w="686" w:type="dxa"/>
                  <w:tcBorders>
                    <w:tl2br w:val="nil"/>
                    <w:tr2bl w:val="nil"/>
                  </w:tcBorders>
                  <w:vAlign w:val="center"/>
                </w:tcPr>
                <w:p>
                  <w:pPr>
                    <w:pStyle w:val="41"/>
                    <w:jc w:val="center"/>
                    <w:rPr>
                      <w:rFonts w:eastAsia="宋体"/>
                      <w:color w:val="auto"/>
                      <w:sz w:val="21"/>
                      <w:szCs w:val="21"/>
                      <w:lang w:eastAsia="zh-CN"/>
                    </w:rPr>
                  </w:pPr>
                  <w:r>
                    <w:rPr>
                      <w:rFonts w:eastAsia="宋体"/>
                      <w:color w:val="auto"/>
                      <w:sz w:val="21"/>
                      <w:szCs w:val="21"/>
                      <w:lang w:eastAsia="zh-CN"/>
                    </w:rPr>
                    <w:t>0.33</w:t>
                  </w:r>
                </w:p>
              </w:tc>
              <w:tc>
                <w:tcPr>
                  <w:tcW w:w="748" w:type="dxa"/>
                  <w:tcBorders>
                    <w:tl2br w:val="nil"/>
                    <w:tr2bl w:val="nil"/>
                  </w:tcBorders>
                  <w:vAlign w:val="center"/>
                </w:tcPr>
                <w:p>
                  <w:pPr>
                    <w:pStyle w:val="41"/>
                    <w:jc w:val="center"/>
                    <w:rPr>
                      <w:rFonts w:eastAsia="宋体"/>
                      <w:color w:val="auto"/>
                      <w:sz w:val="21"/>
                      <w:szCs w:val="21"/>
                      <w:lang w:eastAsia="zh-CN"/>
                    </w:rPr>
                  </w:pPr>
                  <w:r>
                    <w:rPr>
                      <w:rFonts w:eastAsia="宋体"/>
                      <w:color w:val="auto"/>
                      <w:sz w:val="21"/>
                      <w:szCs w:val="21"/>
                      <w:lang w:eastAsia="zh-CN"/>
                    </w:rPr>
                    <w:t>0</w:t>
                  </w:r>
                  <w:r>
                    <w:rPr>
                      <w:rFonts w:hint="eastAsia" w:eastAsia="宋体"/>
                      <w:color w:val="auto"/>
                      <w:sz w:val="21"/>
                      <w:szCs w:val="21"/>
                      <w:lang w:val="en-US" w:eastAsia="zh-CN"/>
                    </w:rPr>
                    <w:t>.1944</w:t>
                  </w:r>
                </w:p>
              </w:tc>
              <w:tc>
                <w:tcPr>
                  <w:tcW w:w="729" w:type="dxa"/>
                  <w:tcBorders>
                    <w:tl2br w:val="nil"/>
                    <w:tr2bl w:val="nil"/>
                  </w:tcBorders>
                  <w:vAlign w:val="center"/>
                </w:tcPr>
                <w:p>
                  <w:pPr>
                    <w:pStyle w:val="41"/>
                    <w:jc w:val="center"/>
                    <w:rPr>
                      <w:rFonts w:eastAsia="宋体"/>
                      <w:color w:val="auto"/>
                      <w:sz w:val="21"/>
                      <w:szCs w:val="21"/>
                      <w:lang w:eastAsia="zh-CN"/>
                    </w:rPr>
                  </w:pPr>
                  <w:r>
                    <w:rPr>
                      <w:rFonts w:eastAsia="宋体"/>
                      <w:color w:val="auto"/>
                      <w:sz w:val="21"/>
                      <w:szCs w:val="21"/>
                      <w:lang w:eastAsia="zh-CN"/>
                    </w:rPr>
                    <w:t>10</w:t>
                  </w:r>
                </w:p>
              </w:tc>
              <w:tc>
                <w:tcPr>
                  <w:tcW w:w="823" w:type="dxa"/>
                  <w:tcBorders>
                    <w:tl2br w:val="nil"/>
                    <w:tr2bl w:val="nil"/>
                  </w:tcBorders>
                  <w:vAlign w:val="center"/>
                </w:tcPr>
                <w:p>
                  <w:pPr>
                    <w:pStyle w:val="41"/>
                    <w:jc w:val="center"/>
                    <w:rPr>
                      <w:rFonts w:eastAsia="宋体"/>
                      <w:color w:val="auto"/>
                      <w:sz w:val="21"/>
                      <w:szCs w:val="21"/>
                      <w:lang w:eastAsia="zh-CN"/>
                    </w:rPr>
                  </w:pPr>
                  <w:r>
                    <w:rPr>
                      <w:rFonts w:eastAsia="宋体"/>
                      <w:color w:val="auto"/>
                      <w:sz w:val="21"/>
                      <w:szCs w:val="21"/>
                      <w:lang w:eastAsia="zh-CN"/>
                    </w:rPr>
                    <w:t>达标</w:t>
                  </w:r>
                </w:p>
              </w:tc>
              <w:tc>
                <w:tcPr>
                  <w:tcW w:w="1085" w:type="dxa"/>
                  <w:tcBorders>
                    <w:tl2br w:val="nil"/>
                    <w:tr2bl w:val="nil"/>
                  </w:tcBorders>
                  <w:vAlign w:val="center"/>
                </w:tcPr>
                <w:p>
                  <w:pPr>
                    <w:pStyle w:val="41"/>
                    <w:jc w:val="center"/>
                    <w:rPr>
                      <w:rFonts w:eastAsia="宋体"/>
                      <w:color w:val="auto"/>
                      <w:sz w:val="21"/>
                      <w:szCs w:val="21"/>
                      <w:lang w:eastAsia="zh-CN"/>
                    </w:rPr>
                  </w:pPr>
                  <w:r>
                    <w:rPr>
                      <w:rFonts w:eastAsia="宋体"/>
                      <w:color w:val="auto"/>
                      <w:sz w:val="21"/>
                      <w:szCs w:val="21"/>
                      <w:lang w:eastAsia="zh-CN"/>
                    </w:rPr>
                    <w:t>有组织</w:t>
                  </w:r>
                </w:p>
              </w:tc>
              <w:tc>
                <w:tcPr>
                  <w:tcW w:w="1509" w:type="dxa"/>
                  <w:tcBorders>
                    <w:tl2br w:val="nil"/>
                    <w:tr2bl w:val="nil"/>
                  </w:tcBorders>
                  <w:vAlign w:val="center"/>
                </w:tcPr>
                <w:p>
                  <w:pPr>
                    <w:pStyle w:val="49"/>
                    <w:autoSpaceDE/>
                    <w:autoSpaceDN/>
                    <w:jc w:val="center"/>
                    <w:rPr>
                      <w:rFonts w:ascii="Times New Roman" w:hAnsi="Times New Roman"/>
                      <w:color w:val="auto"/>
                      <w:kern w:val="2"/>
                      <w:sz w:val="21"/>
                      <w:szCs w:val="21"/>
                      <w:lang w:eastAsia="zh-CN"/>
                    </w:rPr>
                  </w:pPr>
                  <w:r>
                    <w:rPr>
                      <w:rFonts w:ascii="Times New Roman" w:hAnsi="Times New Roman"/>
                      <w:color w:val="auto"/>
                      <w:kern w:val="2"/>
                      <w:sz w:val="21"/>
                      <w:szCs w:val="21"/>
                      <w:lang w:eastAsia="zh-CN"/>
                    </w:rPr>
                    <w:t>GBZ 2.1-2019</w:t>
                  </w:r>
                </w:p>
                <w:p>
                  <w:pPr>
                    <w:pStyle w:val="49"/>
                    <w:autoSpaceDE/>
                    <w:autoSpaceDN/>
                    <w:jc w:val="center"/>
                    <w:rPr>
                      <w:rFonts w:ascii="Times New Roman" w:hAnsi="Times New Roman"/>
                      <w:color w:val="auto"/>
                      <w:kern w:val="2"/>
                      <w:sz w:val="21"/>
                      <w:szCs w:val="21"/>
                      <w:lang w:eastAsia="zh-CN"/>
                    </w:rPr>
                  </w:pPr>
                  <w:r>
                    <w:rPr>
                      <w:rFonts w:ascii="Times New Roman" w:hAnsi="Times New Roman"/>
                      <w:color w:val="auto"/>
                      <w:kern w:val="2"/>
                      <w:sz w:val="21"/>
                      <w:szCs w:val="21"/>
                      <w:lang w:eastAsia="zh-CN"/>
                    </w:rPr>
                    <w:t>GB 14554-93</w:t>
                  </w:r>
                </w:p>
              </w:tc>
            </w:tr>
          </w:tbl>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综上可知，本项目废气各污染因子均能满足相关标准的要求，本项目工艺废气经处理后能够做到达标排放，对项目周边 500m 范围内敏感点的影响可接受。</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4.5.6非正常工况</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本项目非正常工况主要为污水处理废气处理设施发生非正常运行时，处理效率下降到50%的情况，则非正常工况情况见下表 4-5。</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 4-5</w:t>
            </w:r>
            <w:r>
              <w:rPr>
                <w:rFonts w:ascii="Times New Roman" w:hAnsi="Times New Roman" w:eastAsia="宋体"/>
                <w:color w:val="auto"/>
                <w:sz w:val="24"/>
                <w:szCs w:val="24"/>
              </w:rPr>
              <w:tab/>
            </w:r>
            <w:r>
              <w:rPr>
                <w:rFonts w:ascii="Times New Roman" w:hAnsi="Times New Roman" w:eastAsia="宋体"/>
                <w:color w:val="auto"/>
                <w:sz w:val="24"/>
                <w:szCs w:val="24"/>
              </w:rPr>
              <w:t>本项目非正常工况情况</w:t>
            </w:r>
          </w:p>
          <w:tbl>
            <w:tblPr>
              <w:tblStyle w:val="25"/>
              <w:tblW w:w="859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07"/>
              <w:gridCol w:w="1367"/>
              <w:gridCol w:w="894"/>
              <w:gridCol w:w="894"/>
              <w:gridCol w:w="1058"/>
              <w:gridCol w:w="1083"/>
              <w:gridCol w:w="911"/>
              <w:gridCol w:w="884"/>
              <w:gridCol w:w="8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07" w:type="dxa"/>
                  <w:tcBorders>
                    <w:tl2br w:val="nil"/>
                    <w:tr2bl w:val="nil"/>
                  </w:tcBorders>
                  <w:vAlign w:val="center"/>
                </w:tcPr>
                <w:p>
                  <w:pPr>
                    <w:adjustRightInd w:val="0"/>
                    <w:snapToGri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szCs w:val="21"/>
                    </w:rPr>
                    <w:t>序号</w:t>
                  </w:r>
                </w:p>
              </w:tc>
              <w:tc>
                <w:tcPr>
                  <w:tcW w:w="1367" w:type="dxa"/>
                  <w:tcBorders>
                    <w:tl2br w:val="nil"/>
                    <w:tr2bl w:val="nil"/>
                  </w:tcBorders>
                  <w:vAlign w:val="center"/>
                </w:tcPr>
                <w:p>
                  <w:pPr>
                    <w:adjustRightInd w:val="0"/>
                    <w:snapToGri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szCs w:val="21"/>
                    </w:rPr>
                    <w:t>污染源</w:t>
                  </w:r>
                </w:p>
              </w:tc>
              <w:tc>
                <w:tcPr>
                  <w:tcW w:w="894" w:type="dxa"/>
                  <w:tcBorders>
                    <w:tl2br w:val="nil"/>
                    <w:tr2bl w:val="nil"/>
                  </w:tcBorders>
                  <w:vAlign w:val="center"/>
                </w:tcPr>
                <w:p>
                  <w:pPr>
                    <w:adjustRightInd w:val="0"/>
                    <w:snapToGri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非正常排</w:t>
                  </w:r>
                  <w:r>
                    <w:rPr>
                      <w:rFonts w:ascii="Times New Roman" w:hAnsi="Times New Roman" w:eastAsia="宋体" w:cs="Times New Roman"/>
                      <w:b/>
                      <w:bCs/>
                      <w:color w:val="auto"/>
                      <w:szCs w:val="21"/>
                    </w:rPr>
                    <w:t>放原因</w:t>
                  </w:r>
                </w:p>
              </w:tc>
              <w:tc>
                <w:tcPr>
                  <w:tcW w:w="894" w:type="dxa"/>
                  <w:tcBorders>
                    <w:tl2br w:val="nil"/>
                    <w:tr2bl w:val="nil"/>
                  </w:tcBorders>
                  <w:vAlign w:val="center"/>
                </w:tcPr>
                <w:p>
                  <w:pPr>
                    <w:adjustRightInd w:val="0"/>
                    <w:snapToGri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szCs w:val="21"/>
                    </w:rPr>
                    <w:t>污染物</w:t>
                  </w:r>
                </w:p>
              </w:tc>
              <w:tc>
                <w:tcPr>
                  <w:tcW w:w="1058" w:type="dxa"/>
                  <w:tcBorders>
                    <w:tl2br w:val="nil"/>
                    <w:tr2bl w:val="nil"/>
                  </w:tcBorders>
                  <w:vAlign w:val="center"/>
                </w:tcPr>
                <w:p>
                  <w:pPr>
                    <w:pStyle w:val="41"/>
                    <w:jc w:val="center"/>
                    <w:rPr>
                      <w:rFonts w:eastAsia="宋体"/>
                      <w:b/>
                      <w:bCs/>
                      <w:color w:val="auto"/>
                      <w:sz w:val="21"/>
                      <w:szCs w:val="21"/>
                    </w:rPr>
                  </w:pPr>
                  <w:r>
                    <w:rPr>
                      <w:rFonts w:eastAsia="宋体"/>
                      <w:b/>
                      <w:bCs/>
                      <w:color w:val="auto"/>
                      <w:sz w:val="21"/>
                      <w:szCs w:val="21"/>
                    </w:rPr>
                    <w:t>排放速率</w:t>
                  </w:r>
                </w:p>
                <w:p>
                  <w:pPr>
                    <w:adjustRightInd w:val="0"/>
                    <w:snapToGri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szCs w:val="21"/>
                    </w:rPr>
                    <w:t>/(kg/h)</w:t>
                  </w:r>
                </w:p>
              </w:tc>
              <w:tc>
                <w:tcPr>
                  <w:tcW w:w="1083" w:type="dxa"/>
                  <w:tcBorders>
                    <w:tl2br w:val="nil"/>
                    <w:tr2bl w:val="nil"/>
                  </w:tcBorders>
                  <w:vAlign w:val="center"/>
                </w:tcPr>
                <w:p>
                  <w:pPr>
                    <w:pStyle w:val="41"/>
                    <w:jc w:val="center"/>
                    <w:rPr>
                      <w:rFonts w:eastAsia="宋体"/>
                      <w:b/>
                      <w:bCs/>
                      <w:color w:val="auto"/>
                      <w:sz w:val="21"/>
                      <w:szCs w:val="21"/>
                    </w:rPr>
                  </w:pPr>
                  <w:r>
                    <w:rPr>
                      <w:rFonts w:eastAsia="宋体"/>
                      <w:b/>
                      <w:bCs/>
                      <w:color w:val="auto"/>
                      <w:sz w:val="21"/>
                      <w:szCs w:val="21"/>
                    </w:rPr>
                    <w:t>排放浓度</w:t>
                  </w:r>
                </w:p>
                <w:p>
                  <w:pPr>
                    <w:adjustRightInd w:val="0"/>
                    <w:snapToGri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szCs w:val="21"/>
                    </w:rPr>
                    <w:t>/(mg/m</w:t>
                  </w:r>
                  <w:r>
                    <w:rPr>
                      <w:rFonts w:ascii="Times New Roman" w:hAnsi="Times New Roman" w:eastAsia="宋体" w:cs="Times New Roman"/>
                      <w:b/>
                      <w:bCs/>
                      <w:color w:val="auto"/>
                      <w:szCs w:val="21"/>
                      <w:vertAlign w:val="superscript"/>
                    </w:rPr>
                    <w:t>3</w:t>
                  </w:r>
                  <w:r>
                    <w:rPr>
                      <w:rFonts w:ascii="Times New Roman" w:hAnsi="Times New Roman" w:eastAsia="宋体" w:cs="Times New Roman"/>
                      <w:b/>
                      <w:bCs/>
                      <w:color w:val="auto"/>
                      <w:szCs w:val="21"/>
                    </w:rPr>
                    <w:t>)</w:t>
                  </w:r>
                </w:p>
              </w:tc>
              <w:tc>
                <w:tcPr>
                  <w:tcW w:w="911" w:type="dxa"/>
                  <w:tcBorders>
                    <w:tl2br w:val="nil"/>
                    <w:tr2bl w:val="nil"/>
                  </w:tcBorders>
                  <w:vAlign w:val="center"/>
                </w:tcPr>
                <w:p>
                  <w:pPr>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单次持续</w:t>
                  </w:r>
                </w:p>
                <w:p>
                  <w:pPr>
                    <w:adjustRightInd w:val="0"/>
                    <w:snapToGri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szCs w:val="21"/>
                    </w:rPr>
                    <w:t>时间/h</w:t>
                  </w:r>
                </w:p>
              </w:tc>
              <w:tc>
                <w:tcPr>
                  <w:tcW w:w="884" w:type="dxa"/>
                  <w:tcBorders>
                    <w:tl2br w:val="nil"/>
                    <w:tr2bl w:val="nil"/>
                  </w:tcBorders>
                  <w:vAlign w:val="center"/>
                </w:tcPr>
                <w:p>
                  <w:pPr>
                    <w:adjustRightInd w:val="0"/>
                    <w:snapToGri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年发生频</w:t>
                  </w:r>
                </w:p>
                <w:p>
                  <w:pPr>
                    <w:adjustRightInd w:val="0"/>
                    <w:snapToGri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次/次</w:t>
                  </w:r>
                </w:p>
              </w:tc>
              <w:tc>
                <w:tcPr>
                  <w:tcW w:w="895" w:type="dxa"/>
                  <w:tcBorders>
                    <w:tl2br w:val="nil"/>
                    <w:tr2bl w:val="nil"/>
                  </w:tcBorders>
                  <w:vAlign w:val="center"/>
                </w:tcPr>
                <w:p>
                  <w:pPr>
                    <w:adjustRightInd w:val="0"/>
                    <w:snapToGrid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szCs w:val="21"/>
                    </w:rPr>
                    <w:t>应对措施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07" w:type="dxa"/>
                  <w:vMerge w:val="restart"/>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1</w:t>
                  </w:r>
                </w:p>
              </w:tc>
              <w:tc>
                <w:tcPr>
                  <w:tcW w:w="1367" w:type="dxa"/>
                  <w:vMerge w:val="restart"/>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废水处理设施</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rPr>
                    <w:t>DA001)</w:t>
                  </w:r>
                </w:p>
              </w:tc>
              <w:tc>
                <w:tcPr>
                  <w:tcW w:w="894" w:type="dxa"/>
                  <w:vMerge w:val="restart"/>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废气处理设施</w:t>
                  </w:r>
                  <w:r>
                    <w:rPr>
                      <w:rFonts w:ascii="Times New Roman" w:hAnsi="Times New Roman" w:eastAsia="宋体" w:cs="Times New Roman"/>
                      <w:color w:val="auto"/>
                      <w:kern w:val="0"/>
                      <w:szCs w:val="21"/>
                      <w:highlight w:val="none"/>
                    </w:rPr>
                    <w:t>非正常</w:t>
                  </w:r>
                  <w:r>
                    <w:rPr>
                      <w:rFonts w:ascii="Times New Roman" w:hAnsi="Times New Roman" w:eastAsia="宋体" w:cs="Times New Roman"/>
                      <w:color w:val="auto"/>
                      <w:kern w:val="0"/>
                      <w:szCs w:val="21"/>
                    </w:rPr>
                    <w:t>运行</w:t>
                  </w:r>
                </w:p>
              </w:tc>
              <w:tc>
                <w:tcPr>
                  <w:tcW w:w="894" w:type="dxa"/>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氨</w:t>
                  </w:r>
                </w:p>
              </w:tc>
              <w:tc>
                <w:tcPr>
                  <w:tcW w:w="1058" w:type="dxa"/>
                  <w:tcBorders>
                    <w:tl2br w:val="nil"/>
                    <w:tr2bl w:val="nil"/>
                  </w:tcBorders>
                  <w:shd w:val="clear" w:color="auto" w:fill="auto"/>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等线" w:cs="Times New Roman"/>
                      <w:color w:val="auto"/>
                      <w:sz w:val="22"/>
                    </w:rPr>
                    <w:t>0.</w:t>
                  </w:r>
                  <w:r>
                    <w:rPr>
                      <w:rFonts w:hint="eastAsia" w:ascii="Times New Roman" w:hAnsi="Times New Roman" w:eastAsia="等线" w:cs="Times New Roman"/>
                      <w:color w:val="auto"/>
                      <w:sz w:val="22"/>
                      <w:lang w:val="en-US" w:eastAsia="zh-CN"/>
                    </w:rPr>
                    <w:t>2511</w:t>
                  </w:r>
                  <w:r>
                    <w:rPr>
                      <w:rFonts w:ascii="Times New Roman" w:hAnsi="Times New Roman" w:eastAsia="等线" w:cs="Times New Roman"/>
                      <w:color w:val="auto"/>
                      <w:sz w:val="22"/>
                    </w:rPr>
                    <w:t xml:space="preserve"> </w:t>
                  </w:r>
                </w:p>
              </w:tc>
              <w:tc>
                <w:tcPr>
                  <w:tcW w:w="108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8.37</w:t>
                  </w:r>
                </w:p>
              </w:tc>
              <w:tc>
                <w:tcPr>
                  <w:tcW w:w="911" w:type="dxa"/>
                  <w:vMerge w:val="restart"/>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0.1</w:t>
                  </w:r>
                </w:p>
              </w:tc>
              <w:tc>
                <w:tcPr>
                  <w:tcW w:w="884" w:type="dxa"/>
                  <w:vMerge w:val="restart"/>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0-1</w:t>
                  </w:r>
                </w:p>
              </w:tc>
              <w:tc>
                <w:tcPr>
                  <w:tcW w:w="895" w:type="dxa"/>
                  <w:vMerge w:val="restart"/>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关闭废气外排管道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07" w:type="dxa"/>
                  <w:vMerge w:val="continue"/>
                  <w:tcBorders>
                    <w:tl2br w:val="nil"/>
                    <w:tr2bl w:val="nil"/>
                  </w:tcBorders>
                  <w:vAlign w:val="center"/>
                </w:tcPr>
                <w:p>
                  <w:pPr>
                    <w:pStyle w:val="41"/>
                    <w:jc w:val="center"/>
                    <w:rPr>
                      <w:rFonts w:eastAsia="宋体"/>
                      <w:color w:val="auto"/>
                      <w:sz w:val="21"/>
                      <w:szCs w:val="21"/>
                    </w:rPr>
                  </w:pPr>
                </w:p>
              </w:tc>
              <w:tc>
                <w:tcPr>
                  <w:tcW w:w="1367" w:type="dxa"/>
                  <w:vMerge w:val="continue"/>
                  <w:tcBorders>
                    <w:tl2br w:val="nil"/>
                    <w:tr2bl w:val="nil"/>
                  </w:tcBorders>
                  <w:vAlign w:val="center"/>
                </w:tcPr>
                <w:p>
                  <w:pPr>
                    <w:pStyle w:val="41"/>
                    <w:jc w:val="center"/>
                    <w:rPr>
                      <w:rFonts w:eastAsia="宋体"/>
                      <w:color w:val="auto"/>
                      <w:sz w:val="21"/>
                      <w:szCs w:val="21"/>
                    </w:rPr>
                  </w:pPr>
                </w:p>
              </w:tc>
              <w:tc>
                <w:tcPr>
                  <w:tcW w:w="894" w:type="dxa"/>
                  <w:vMerge w:val="continue"/>
                  <w:tcBorders>
                    <w:tl2br w:val="nil"/>
                    <w:tr2bl w:val="nil"/>
                  </w:tcBorders>
                  <w:vAlign w:val="center"/>
                </w:tcPr>
                <w:p>
                  <w:pPr>
                    <w:pStyle w:val="41"/>
                    <w:jc w:val="center"/>
                    <w:rPr>
                      <w:rFonts w:eastAsia="宋体"/>
                      <w:color w:val="auto"/>
                      <w:sz w:val="21"/>
                      <w:szCs w:val="21"/>
                    </w:rPr>
                  </w:pPr>
                </w:p>
              </w:tc>
              <w:tc>
                <w:tcPr>
                  <w:tcW w:w="894" w:type="dxa"/>
                  <w:tcBorders>
                    <w:tl2br w:val="nil"/>
                    <w:tr2bl w:val="nil"/>
                  </w:tcBorders>
                  <w:vAlign w:val="center"/>
                </w:tcPr>
                <w:p>
                  <w:pPr>
                    <w:pStyle w:val="41"/>
                    <w:jc w:val="center"/>
                    <w:rPr>
                      <w:rFonts w:eastAsia="宋体"/>
                      <w:color w:val="auto"/>
                      <w:sz w:val="21"/>
                      <w:szCs w:val="21"/>
                    </w:rPr>
                  </w:pPr>
                  <w:r>
                    <w:rPr>
                      <w:rFonts w:eastAsia="宋体"/>
                      <w:color w:val="auto"/>
                      <w:sz w:val="21"/>
                      <w:szCs w:val="21"/>
                    </w:rPr>
                    <w:t>硫化氢</w:t>
                  </w:r>
                </w:p>
              </w:tc>
              <w:tc>
                <w:tcPr>
                  <w:tcW w:w="105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等线" w:cs="Times New Roman"/>
                      <w:color w:val="auto"/>
                      <w:sz w:val="22"/>
                      <w:lang w:val="en-US" w:eastAsia="zh-CN"/>
                    </w:rPr>
                    <w:t>0.00972</w:t>
                  </w:r>
                </w:p>
              </w:tc>
              <w:tc>
                <w:tcPr>
                  <w:tcW w:w="108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0.324</w:t>
                  </w:r>
                </w:p>
              </w:tc>
              <w:tc>
                <w:tcPr>
                  <w:tcW w:w="911"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p>
              </w:tc>
              <w:tc>
                <w:tcPr>
                  <w:tcW w:w="88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p>
              </w:tc>
              <w:tc>
                <w:tcPr>
                  <w:tcW w:w="895"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07" w:type="dxa"/>
                  <w:vMerge w:val="restart"/>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2</w:t>
                  </w:r>
                </w:p>
              </w:tc>
              <w:tc>
                <w:tcPr>
                  <w:tcW w:w="1367" w:type="dxa"/>
                  <w:vMerge w:val="restart"/>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废水处理设施</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rPr>
                    <w:t>无组织</w:t>
                  </w:r>
                  <w:r>
                    <w:rPr>
                      <w:rFonts w:hint="eastAsia" w:ascii="Times New Roman" w:hAnsi="Times New Roman" w:eastAsia="宋体" w:cs="Times New Roman"/>
                      <w:color w:val="auto"/>
                      <w:kern w:val="0"/>
                      <w:szCs w:val="21"/>
                      <w:lang w:eastAsia="zh-CN"/>
                    </w:rPr>
                    <w:t>）</w:t>
                  </w:r>
                </w:p>
              </w:tc>
              <w:tc>
                <w:tcPr>
                  <w:tcW w:w="89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p>
              </w:tc>
              <w:tc>
                <w:tcPr>
                  <w:tcW w:w="894" w:type="dxa"/>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氨</w:t>
                  </w:r>
                </w:p>
              </w:tc>
              <w:tc>
                <w:tcPr>
                  <w:tcW w:w="1058" w:type="dxa"/>
                  <w:tcBorders>
                    <w:tl2br w:val="nil"/>
                    <w:tr2bl w:val="nil"/>
                  </w:tcBorders>
                  <w:shd w:val="clear" w:color="auto" w:fill="auto"/>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w:t>
                  </w:r>
                  <w:r>
                    <w:rPr>
                      <w:rFonts w:hint="eastAsia" w:ascii="Times New Roman" w:hAnsi="Times New Roman" w:eastAsia="宋体" w:cs="Times New Roman"/>
                      <w:color w:val="auto"/>
                      <w:kern w:val="0"/>
                      <w:szCs w:val="21"/>
                      <w:lang w:val="en-US" w:eastAsia="zh-CN"/>
                    </w:rPr>
                    <w:t>558</w:t>
                  </w:r>
                </w:p>
              </w:tc>
              <w:tc>
                <w:tcPr>
                  <w:tcW w:w="1083" w:type="dxa"/>
                  <w:tcBorders>
                    <w:tl2br w:val="nil"/>
                    <w:tr2bl w:val="nil"/>
                  </w:tcBorders>
                  <w:shd w:val="clear" w:color="auto" w:fill="auto"/>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w:t>
                  </w:r>
                </w:p>
              </w:tc>
              <w:tc>
                <w:tcPr>
                  <w:tcW w:w="911"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p>
              </w:tc>
              <w:tc>
                <w:tcPr>
                  <w:tcW w:w="88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p>
              </w:tc>
              <w:tc>
                <w:tcPr>
                  <w:tcW w:w="895"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07" w:type="dxa"/>
                  <w:vMerge w:val="continue"/>
                  <w:tcBorders>
                    <w:tl2br w:val="nil"/>
                    <w:tr2bl w:val="nil"/>
                  </w:tcBorders>
                  <w:vAlign w:val="center"/>
                </w:tcPr>
                <w:p>
                  <w:pPr>
                    <w:pStyle w:val="41"/>
                    <w:jc w:val="center"/>
                    <w:rPr>
                      <w:rFonts w:eastAsia="宋体"/>
                      <w:color w:val="auto"/>
                      <w:sz w:val="21"/>
                      <w:szCs w:val="21"/>
                    </w:rPr>
                  </w:pPr>
                </w:p>
              </w:tc>
              <w:tc>
                <w:tcPr>
                  <w:tcW w:w="1367" w:type="dxa"/>
                  <w:vMerge w:val="continue"/>
                  <w:tcBorders>
                    <w:tl2br w:val="nil"/>
                    <w:tr2bl w:val="nil"/>
                  </w:tcBorders>
                  <w:vAlign w:val="center"/>
                </w:tcPr>
                <w:p>
                  <w:pPr>
                    <w:pStyle w:val="41"/>
                    <w:jc w:val="center"/>
                    <w:rPr>
                      <w:rFonts w:eastAsia="宋体"/>
                      <w:color w:val="auto"/>
                      <w:sz w:val="21"/>
                      <w:szCs w:val="21"/>
                    </w:rPr>
                  </w:pPr>
                </w:p>
              </w:tc>
              <w:tc>
                <w:tcPr>
                  <w:tcW w:w="894" w:type="dxa"/>
                  <w:vMerge w:val="continue"/>
                  <w:tcBorders>
                    <w:tl2br w:val="nil"/>
                    <w:tr2bl w:val="nil"/>
                  </w:tcBorders>
                  <w:vAlign w:val="center"/>
                </w:tcPr>
                <w:p>
                  <w:pPr>
                    <w:pStyle w:val="41"/>
                    <w:jc w:val="center"/>
                    <w:rPr>
                      <w:rFonts w:eastAsia="宋体"/>
                      <w:color w:val="auto"/>
                      <w:sz w:val="21"/>
                      <w:szCs w:val="21"/>
                    </w:rPr>
                  </w:pPr>
                </w:p>
              </w:tc>
              <w:tc>
                <w:tcPr>
                  <w:tcW w:w="894" w:type="dxa"/>
                  <w:tcBorders>
                    <w:tl2br w:val="nil"/>
                    <w:tr2bl w:val="nil"/>
                  </w:tcBorders>
                  <w:vAlign w:val="center"/>
                </w:tcPr>
                <w:p>
                  <w:pPr>
                    <w:pStyle w:val="41"/>
                    <w:jc w:val="center"/>
                    <w:rPr>
                      <w:rFonts w:eastAsia="宋体"/>
                      <w:color w:val="auto"/>
                      <w:sz w:val="21"/>
                      <w:szCs w:val="21"/>
                    </w:rPr>
                  </w:pPr>
                  <w:r>
                    <w:rPr>
                      <w:rFonts w:eastAsia="宋体"/>
                      <w:color w:val="auto"/>
                      <w:sz w:val="21"/>
                      <w:szCs w:val="21"/>
                    </w:rPr>
                    <w:t>硫化氢</w:t>
                  </w:r>
                </w:p>
              </w:tc>
              <w:tc>
                <w:tcPr>
                  <w:tcW w:w="1058" w:type="dxa"/>
                  <w:tcBorders>
                    <w:tl2br w:val="nil"/>
                    <w:tr2bl w:val="nil"/>
                  </w:tcBorders>
                  <w:shd w:val="clear" w:color="auto" w:fill="auto"/>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0.00</w:t>
                  </w:r>
                  <w:r>
                    <w:rPr>
                      <w:rFonts w:hint="eastAsia" w:ascii="Times New Roman" w:hAnsi="Times New Roman" w:eastAsia="宋体" w:cs="Times New Roman"/>
                      <w:color w:val="auto"/>
                      <w:kern w:val="0"/>
                      <w:szCs w:val="21"/>
                      <w:lang w:val="en-US" w:eastAsia="zh-CN"/>
                    </w:rPr>
                    <w:t>216</w:t>
                  </w:r>
                </w:p>
              </w:tc>
              <w:tc>
                <w:tcPr>
                  <w:tcW w:w="1083" w:type="dxa"/>
                  <w:tcBorders>
                    <w:tl2br w:val="nil"/>
                    <w:tr2bl w:val="nil"/>
                  </w:tcBorders>
                  <w:shd w:val="clear" w:color="auto" w:fill="auto"/>
                  <w:vAlign w:val="center"/>
                </w:tcPr>
                <w:p>
                  <w:pPr>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w:t>
                  </w:r>
                </w:p>
              </w:tc>
              <w:tc>
                <w:tcPr>
                  <w:tcW w:w="911"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p>
              </w:tc>
              <w:tc>
                <w:tcPr>
                  <w:tcW w:w="884"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p>
              </w:tc>
              <w:tc>
                <w:tcPr>
                  <w:tcW w:w="895" w:type="dxa"/>
                  <w:vMerge w:val="continue"/>
                  <w:tcBorders>
                    <w:tl2br w:val="nil"/>
                    <w:tr2bl w:val="nil"/>
                  </w:tcBorders>
                  <w:vAlign w:val="center"/>
                </w:tcPr>
                <w:p>
                  <w:pPr>
                    <w:adjustRightInd w:val="0"/>
                    <w:snapToGrid w:val="0"/>
                    <w:jc w:val="center"/>
                    <w:rPr>
                      <w:rFonts w:ascii="Times New Roman" w:hAnsi="Times New Roman" w:eastAsia="宋体" w:cs="Times New Roman"/>
                      <w:color w:val="auto"/>
                      <w:kern w:val="0"/>
                      <w:szCs w:val="21"/>
                    </w:rPr>
                  </w:pPr>
                </w:p>
              </w:tc>
            </w:tr>
          </w:tbl>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污水处理废气处理设施发生非正常运行时，氨、硫化氢排放浓度仍可达标。但是废气长时间排放对大气环境会产生负面影响，因此为避免废气处理设施发生故障，应正确使用废气治理设备，加强日常巡查和检修。</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4.5.7废气监测要求</w:t>
            </w:r>
          </w:p>
          <w:p>
            <w:pPr>
              <w:pStyle w:val="35"/>
              <w:spacing w:line="240" w:lineRule="auto"/>
              <w:rPr>
                <w:rFonts w:ascii="Times New Roman" w:hAnsi="Times New Roman"/>
                <w:color w:val="auto"/>
                <w:sz w:val="24"/>
                <w:szCs w:val="24"/>
              </w:rPr>
            </w:pPr>
            <w:r>
              <w:rPr>
                <w:rFonts w:ascii="Times New Roman" w:hAnsi="Times New Roman" w:eastAsia="宋体"/>
                <w:color w:val="auto"/>
                <w:sz w:val="24"/>
                <w:szCs w:val="24"/>
              </w:rPr>
              <w:t>表</w:t>
            </w:r>
            <w:r>
              <w:rPr>
                <w:rFonts w:ascii="Times New Roman" w:hAnsi="Times New Roman"/>
                <w:color w:val="auto"/>
                <w:spacing w:val="-62"/>
                <w:sz w:val="24"/>
                <w:szCs w:val="24"/>
              </w:rPr>
              <w:t xml:space="preserve"> </w:t>
            </w:r>
            <w:r>
              <w:rPr>
                <w:rFonts w:ascii="Times New Roman" w:hAnsi="Times New Roman"/>
                <w:color w:val="auto"/>
                <w:sz w:val="24"/>
                <w:szCs w:val="24"/>
              </w:rPr>
              <w:t xml:space="preserve">4-6  </w:t>
            </w:r>
            <w:r>
              <w:rPr>
                <w:rFonts w:ascii="Times New Roman" w:hAnsi="Times New Roman" w:eastAsia="宋体"/>
                <w:color w:val="auto"/>
                <w:sz w:val="24"/>
                <w:szCs w:val="24"/>
              </w:rPr>
              <w:t>本项目废气监测要求</w:t>
            </w:r>
          </w:p>
          <w:tbl>
            <w:tblPr>
              <w:tblStyle w:val="45"/>
              <w:tblW w:w="859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04"/>
              <w:gridCol w:w="2763"/>
              <w:gridCol w:w="2268"/>
              <w:gridCol w:w="1144"/>
              <w:gridCol w:w="17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04" w:type="dxa"/>
                  <w:tcBorders>
                    <w:tl2br w:val="nil"/>
                    <w:tr2bl w:val="nil"/>
                  </w:tcBorders>
                  <w:vAlign w:val="center"/>
                </w:tcPr>
                <w:p>
                  <w:pPr>
                    <w:pStyle w:val="41"/>
                    <w:spacing w:before="77" w:line="262" w:lineRule="exact"/>
                    <w:ind w:left="115" w:right="106"/>
                    <w:jc w:val="center"/>
                    <w:rPr>
                      <w:rFonts w:eastAsia="宋体"/>
                      <w:b/>
                      <w:bCs/>
                      <w:color w:val="auto"/>
                      <w:sz w:val="21"/>
                      <w:lang w:eastAsia="zh-CN"/>
                    </w:rPr>
                  </w:pPr>
                  <w:r>
                    <w:rPr>
                      <w:rFonts w:eastAsia="宋体"/>
                      <w:b/>
                      <w:bCs/>
                      <w:color w:val="auto"/>
                      <w:sz w:val="21"/>
                      <w:lang w:eastAsia="zh-CN"/>
                    </w:rPr>
                    <w:t>序号</w:t>
                  </w:r>
                </w:p>
              </w:tc>
              <w:tc>
                <w:tcPr>
                  <w:tcW w:w="2763" w:type="dxa"/>
                  <w:tcBorders>
                    <w:tl2br w:val="nil"/>
                    <w:tr2bl w:val="nil"/>
                  </w:tcBorders>
                  <w:vAlign w:val="center"/>
                </w:tcPr>
                <w:p>
                  <w:pPr>
                    <w:pStyle w:val="41"/>
                    <w:spacing w:before="77" w:line="262" w:lineRule="exact"/>
                    <w:ind w:left="121" w:right="113"/>
                    <w:jc w:val="center"/>
                    <w:rPr>
                      <w:rFonts w:eastAsia="宋体"/>
                      <w:b/>
                      <w:bCs/>
                      <w:color w:val="auto"/>
                      <w:sz w:val="21"/>
                      <w:lang w:eastAsia="zh-CN"/>
                    </w:rPr>
                  </w:pPr>
                  <w:r>
                    <w:rPr>
                      <w:rFonts w:eastAsia="宋体"/>
                      <w:b/>
                      <w:bCs/>
                      <w:color w:val="auto"/>
                      <w:sz w:val="21"/>
                      <w:lang w:eastAsia="zh-CN"/>
                    </w:rPr>
                    <w:t>监测点位</w:t>
                  </w:r>
                </w:p>
              </w:tc>
              <w:tc>
                <w:tcPr>
                  <w:tcW w:w="2268" w:type="dxa"/>
                  <w:tcBorders>
                    <w:tl2br w:val="nil"/>
                    <w:tr2bl w:val="nil"/>
                  </w:tcBorders>
                  <w:vAlign w:val="center"/>
                </w:tcPr>
                <w:p>
                  <w:pPr>
                    <w:pStyle w:val="41"/>
                    <w:spacing w:before="77" w:line="262" w:lineRule="exact"/>
                    <w:ind w:left="36" w:right="29"/>
                    <w:jc w:val="center"/>
                    <w:rPr>
                      <w:rFonts w:eastAsia="宋体"/>
                      <w:b/>
                      <w:bCs/>
                      <w:color w:val="auto"/>
                      <w:sz w:val="21"/>
                      <w:lang w:eastAsia="zh-CN"/>
                    </w:rPr>
                  </w:pPr>
                  <w:r>
                    <w:rPr>
                      <w:rFonts w:eastAsia="宋体"/>
                      <w:b/>
                      <w:bCs/>
                      <w:color w:val="auto"/>
                      <w:sz w:val="21"/>
                      <w:lang w:eastAsia="zh-CN"/>
                    </w:rPr>
                    <w:t>监测因子</w:t>
                  </w:r>
                </w:p>
              </w:tc>
              <w:tc>
                <w:tcPr>
                  <w:tcW w:w="1144" w:type="dxa"/>
                  <w:tcBorders>
                    <w:tl2br w:val="nil"/>
                    <w:tr2bl w:val="nil"/>
                  </w:tcBorders>
                  <w:vAlign w:val="center"/>
                </w:tcPr>
                <w:p>
                  <w:pPr>
                    <w:pStyle w:val="41"/>
                    <w:spacing w:before="77" w:line="262" w:lineRule="exact"/>
                    <w:ind w:left="113" w:right="108"/>
                    <w:jc w:val="center"/>
                    <w:rPr>
                      <w:rFonts w:eastAsia="宋体"/>
                      <w:b/>
                      <w:bCs/>
                      <w:color w:val="auto"/>
                      <w:sz w:val="21"/>
                      <w:lang w:eastAsia="zh-CN"/>
                    </w:rPr>
                  </w:pPr>
                  <w:r>
                    <w:rPr>
                      <w:rFonts w:eastAsia="宋体"/>
                      <w:b/>
                      <w:bCs/>
                      <w:color w:val="auto"/>
                      <w:sz w:val="21"/>
                      <w:lang w:eastAsia="zh-CN"/>
                    </w:rPr>
                    <w:t>监测频次</w:t>
                  </w:r>
                </w:p>
              </w:tc>
              <w:tc>
                <w:tcPr>
                  <w:tcW w:w="1711" w:type="dxa"/>
                  <w:tcBorders>
                    <w:tl2br w:val="nil"/>
                    <w:tr2bl w:val="nil"/>
                  </w:tcBorders>
                  <w:vAlign w:val="center"/>
                </w:tcPr>
                <w:p>
                  <w:pPr>
                    <w:pStyle w:val="41"/>
                    <w:spacing w:before="77" w:line="262" w:lineRule="exact"/>
                    <w:ind w:left="130" w:right="122"/>
                    <w:jc w:val="center"/>
                    <w:rPr>
                      <w:rFonts w:eastAsia="宋体"/>
                      <w:b/>
                      <w:bCs/>
                      <w:color w:val="auto"/>
                      <w:sz w:val="21"/>
                      <w:lang w:eastAsia="zh-CN"/>
                    </w:rPr>
                  </w:pPr>
                  <w:r>
                    <w:rPr>
                      <w:rFonts w:eastAsia="宋体"/>
                      <w:b/>
                      <w:bCs/>
                      <w:color w:val="auto"/>
                      <w:sz w:val="21"/>
                      <w:lang w:eastAsia="zh-CN"/>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704" w:type="dxa"/>
                  <w:tcBorders>
                    <w:tl2br w:val="nil"/>
                    <w:tr2bl w:val="nil"/>
                  </w:tcBorders>
                  <w:vAlign w:val="center"/>
                </w:tcPr>
                <w:p>
                  <w:pPr>
                    <w:pStyle w:val="49"/>
                    <w:autoSpaceDE/>
                    <w:autoSpaceDN/>
                    <w:jc w:val="center"/>
                    <w:rPr>
                      <w:rFonts w:ascii="Times New Roman" w:hAnsi="Times New Roman"/>
                      <w:color w:val="auto"/>
                      <w:kern w:val="2"/>
                      <w:sz w:val="21"/>
                      <w:szCs w:val="21"/>
                      <w:lang w:eastAsia="zh-CN"/>
                    </w:rPr>
                  </w:pPr>
                  <w:r>
                    <w:rPr>
                      <w:rFonts w:ascii="Times New Roman" w:hAnsi="Times New Roman"/>
                      <w:color w:val="auto"/>
                      <w:kern w:val="2"/>
                      <w:sz w:val="21"/>
                      <w:szCs w:val="21"/>
                      <w:lang w:eastAsia="zh-CN"/>
                    </w:rPr>
                    <w:t>1</w:t>
                  </w:r>
                </w:p>
              </w:tc>
              <w:tc>
                <w:tcPr>
                  <w:tcW w:w="2763" w:type="dxa"/>
                  <w:tcBorders>
                    <w:tl2br w:val="nil"/>
                    <w:tr2bl w:val="nil"/>
                  </w:tcBorders>
                  <w:vAlign w:val="center"/>
                </w:tcPr>
                <w:p>
                  <w:pPr>
                    <w:pStyle w:val="41"/>
                    <w:spacing w:before="91" w:line="263" w:lineRule="exact"/>
                    <w:ind w:left="121" w:right="108"/>
                    <w:jc w:val="center"/>
                    <w:rPr>
                      <w:rFonts w:eastAsia="宋体"/>
                      <w:color w:val="auto"/>
                      <w:sz w:val="21"/>
                      <w:lang w:eastAsia="zh-CN"/>
                    </w:rPr>
                  </w:pPr>
                  <w:r>
                    <w:rPr>
                      <w:rFonts w:hint="eastAsia" w:eastAsia="宋体"/>
                      <w:color w:val="auto"/>
                      <w:sz w:val="21"/>
                      <w:lang w:eastAsia="zh-CN"/>
                    </w:rPr>
                    <w:t>废水处理设施排放口（</w:t>
                  </w:r>
                  <w:r>
                    <w:rPr>
                      <w:rFonts w:eastAsia="宋体"/>
                      <w:color w:val="auto"/>
                      <w:sz w:val="21"/>
                      <w:lang w:eastAsia="zh-CN"/>
                    </w:rPr>
                    <w:t>DA001)</w:t>
                  </w:r>
                </w:p>
              </w:tc>
              <w:tc>
                <w:tcPr>
                  <w:tcW w:w="2268" w:type="dxa"/>
                  <w:tcBorders>
                    <w:tl2br w:val="nil"/>
                    <w:tr2bl w:val="nil"/>
                  </w:tcBorders>
                  <w:vAlign w:val="center"/>
                </w:tcPr>
                <w:p>
                  <w:pPr>
                    <w:pStyle w:val="41"/>
                    <w:spacing w:before="1"/>
                    <w:ind w:left="36" w:right="29"/>
                    <w:jc w:val="center"/>
                    <w:rPr>
                      <w:rFonts w:eastAsia="宋体"/>
                      <w:color w:val="auto"/>
                      <w:sz w:val="21"/>
                      <w:lang w:eastAsia="zh-CN"/>
                    </w:rPr>
                  </w:pPr>
                  <w:r>
                    <w:rPr>
                      <w:rFonts w:eastAsia="宋体"/>
                      <w:color w:val="auto"/>
                      <w:sz w:val="21"/>
                      <w:lang w:eastAsia="zh-CN"/>
                    </w:rPr>
                    <w:t>氨、硫化氢、臭气浓度</w:t>
                  </w:r>
                </w:p>
              </w:tc>
              <w:tc>
                <w:tcPr>
                  <w:tcW w:w="1144" w:type="dxa"/>
                  <w:tcBorders>
                    <w:tl2br w:val="nil"/>
                    <w:tr2bl w:val="nil"/>
                  </w:tcBorders>
                  <w:vAlign w:val="center"/>
                </w:tcPr>
                <w:p>
                  <w:pPr>
                    <w:pStyle w:val="41"/>
                    <w:spacing w:before="1"/>
                    <w:ind w:left="113" w:right="108"/>
                    <w:jc w:val="center"/>
                    <w:rPr>
                      <w:rFonts w:eastAsia="宋体"/>
                      <w:color w:val="auto"/>
                      <w:sz w:val="21"/>
                      <w:lang w:eastAsia="en-US"/>
                    </w:rPr>
                  </w:pPr>
                  <w:r>
                    <w:rPr>
                      <w:rFonts w:eastAsia="宋体"/>
                      <w:color w:val="auto"/>
                      <w:sz w:val="21"/>
                      <w:lang w:eastAsia="en-US"/>
                    </w:rPr>
                    <w:t>1 次/半年</w:t>
                  </w:r>
                </w:p>
              </w:tc>
              <w:tc>
                <w:tcPr>
                  <w:tcW w:w="1711" w:type="dxa"/>
                  <w:tcBorders>
                    <w:tl2br w:val="nil"/>
                    <w:tr2bl w:val="nil"/>
                  </w:tcBorders>
                  <w:vAlign w:val="center"/>
                </w:tcPr>
                <w:p>
                  <w:pPr>
                    <w:pStyle w:val="49"/>
                    <w:autoSpaceDE/>
                    <w:autoSpaceDN/>
                    <w:jc w:val="center"/>
                    <w:rPr>
                      <w:rFonts w:ascii="Times New Roman" w:hAnsi="Times New Roman"/>
                      <w:color w:val="auto"/>
                      <w:kern w:val="2"/>
                      <w:sz w:val="21"/>
                      <w:szCs w:val="21"/>
                      <w:lang w:eastAsia="zh-CN"/>
                    </w:rPr>
                  </w:pPr>
                  <w:r>
                    <w:rPr>
                      <w:rFonts w:ascii="Times New Roman" w:hAnsi="Times New Roman"/>
                      <w:color w:val="auto"/>
                      <w:kern w:val="2"/>
                      <w:sz w:val="21"/>
                      <w:szCs w:val="21"/>
                      <w:lang w:eastAsia="zh-CN"/>
                    </w:rPr>
                    <w:t>GBZ 2.1-2019</w:t>
                  </w:r>
                </w:p>
                <w:p>
                  <w:pPr>
                    <w:pStyle w:val="49"/>
                    <w:autoSpaceDE/>
                    <w:autoSpaceDN/>
                    <w:jc w:val="center"/>
                    <w:rPr>
                      <w:rFonts w:ascii="Times New Roman" w:hAnsi="Times New Roman"/>
                      <w:color w:val="auto"/>
                      <w:kern w:val="2"/>
                      <w:sz w:val="21"/>
                      <w:szCs w:val="21"/>
                      <w:lang w:eastAsia="zh-CN"/>
                    </w:rPr>
                  </w:pPr>
                  <w:r>
                    <w:rPr>
                      <w:rFonts w:ascii="Times New Roman" w:hAnsi="Times New Roman"/>
                      <w:color w:val="auto"/>
                      <w:kern w:val="2"/>
                      <w:sz w:val="21"/>
                      <w:szCs w:val="21"/>
                      <w:lang w:eastAsia="zh-CN"/>
                    </w:rPr>
                    <w:t>GB 14554-93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704" w:type="dxa"/>
                  <w:tcBorders>
                    <w:tl2br w:val="nil"/>
                    <w:tr2bl w:val="nil"/>
                  </w:tcBorders>
                  <w:vAlign w:val="center"/>
                </w:tcPr>
                <w:p>
                  <w:pPr>
                    <w:pStyle w:val="49"/>
                    <w:autoSpaceDE/>
                    <w:autoSpaceDN/>
                    <w:ind w:left="0" w:leftChars="0" w:right="0" w:rightChars="0" w:firstLine="0" w:firstLineChars="0"/>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2</w:t>
                  </w:r>
                </w:p>
              </w:tc>
              <w:tc>
                <w:tcPr>
                  <w:tcW w:w="2763" w:type="dxa"/>
                  <w:tcBorders>
                    <w:tl2br w:val="nil"/>
                    <w:tr2bl w:val="nil"/>
                  </w:tcBorders>
                  <w:vAlign w:val="center"/>
                </w:tcPr>
                <w:p>
                  <w:pPr>
                    <w:pStyle w:val="41"/>
                    <w:spacing w:before="77"/>
                    <w:ind w:left="120" w:right="114"/>
                    <w:jc w:val="center"/>
                    <w:rPr>
                      <w:rFonts w:eastAsia="宋体"/>
                      <w:color w:val="auto"/>
                      <w:sz w:val="21"/>
                      <w:lang w:eastAsia="zh-CN"/>
                    </w:rPr>
                  </w:pPr>
                  <w:r>
                    <w:rPr>
                      <w:rFonts w:eastAsia="宋体"/>
                      <w:color w:val="auto"/>
                      <w:sz w:val="21"/>
                      <w:lang w:eastAsia="zh-CN"/>
                    </w:rPr>
                    <w:t>厂界或防护带边缘的浓度</w:t>
                  </w:r>
                </w:p>
                <w:p>
                  <w:pPr>
                    <w:pStyle w:val="41"/>
                    <w:spacing w:before="91" w:line="261" w:lineRule="exact"/>
                    <w:ind w:left="121" w:right="114"/>
                    <w:jc w:val="center"/>
                    <w:rPr>
                      <w:rFonts w:eastAsia="宋体"/>
                      <w:color w:val="auto"/>
                      <w:sz w:val="21"/>
                      <w:lang w:eastAsia="en-US"/>
                    </w:rPr>
                  </w:pPr>
                  <w:r>
                    <w:rPr>
                      <w:rFonts w:eastAsia="宋体"/>
                      <w:color w:val="auto"/>
                      <w:sz w:val="21"/>
                      <w:lang w:eastAsia="en-US"/>
                    </w:rPr>
                    <w:t>最高点*</w:t>
                  </w:r>
                </w:p>
              </w:tc>
              <w:tc>
                <w:tcPr>
                  <w:tcW w:w="2268" w:type="dxa"/>
                  <w:tcBorders>
                    <w:tl2br w:val="nil"/>
                    <w:tr2bl w:val="nil"/>
                  </w:tcBorders>
                  <w:vAlign w:val="center"/>
                </w:tcPr>
                <w:p>
                  <w:pPr>
                    <w:pStyle w:val="41"/>
                    <w:ind w:left="36" w:right="29"/>
                    <w:jc w:val="center"/>
                    <w:rPr>
                      <w:rFonts w:eastAsia="宋体"/>
                      <w:color w:val="auto"/>
                      <w:sz w:val="21"/>
                      <w:lang w:eastAsia="zh-CN"/>
                    </w:rPr>
                  </w:pPr>
                  <w:r>
                    <w:rPr>
                      <w:rFonts w:eastAsia="宋体"/>
                      <w:color w:val="auto"/>
                      <w:sz w:val="21"/>
                      <w:lang w:eastAsia="zh-CN"/>
                    </w:rPr>
                    <w:t>氨、硫化氢、臭气浓度</w:t>
                  </w:r>
                </w:p>
              </w:tc>
              <w:tc>
                <w:tcPr>
                  <w:tcW w:w="1144" w:type="dxa"/>
                  <w:tcBorders>
                    <w:tl2br w:val="nil"/>
                    <w:tr2bl w:val="nil"/>
                  </w:tcBorders>
                  <w:vAlign w:val="center"/>
                </w:tcPr>
                <w:p>
                  <w:pPr>
                    <w:pStyle w:val="41"/>
                    <w:ind w:left="113" w:right="108"/>
                    <w:jc w:val="center"/>
                    <w:rPr>
                      <w:rFonts w:eastAsia="宋体"/>
                      <w:color w:val="auto"/>
                      <w:sz w:val="21"/>
                      <w:lang w:eastAsia="en-US"/>
                    </w:rPr>
                  </w:pPr>
                  <w:r>
                    <w:rPr>
                      <w:rFonts w:eastAsia="宋体"/>
                      <w:color w:val="auto"/>
                      <w:sz w:val="21"/>
                      <w:lang w:eastAsia="en-US"/>
                    </w:rPr>
                    <w:t>1 次/半年</w:t>
                  </w:r>
                </w:p>
              </w:tc>
              <w:tc>
                <w:tcPr>
                  <w:tcW w:w="1711" w:type="dxa"/>
                  <w:tcBorders>
                    <w:tl2br w:val="nil"/>
                    <w:tr2bl w:val="nil"/>
                  </w:tcBorders>
                  <w:vAlign w:val="center"/>
                </w:tcPr>
                <w:p>
                  <w:pPr>
                    <w:pStyle w:val="49"/>
                    <w:autoSpaceDE/>
                    <w:autoSpaceDN/>
                    <w:jc w:val="center"/>
                    <w:rPr>
                      <w:rFonts w:ascii="Times New Roman" w:hAnsi="Times New Roman"/>
                      <w:color w:val="auto"/>
                      <w:kern w:val="2"/>
                      <w:sz w:val="21"/>
                      <w:szCs w:val="21"/>
                      <w:lang w:eastAsia="zh-CN"/>
                    </w:rPr>
                  </w:pPr>
                  <w:r>
                    <w:rPr>
                      <w:rFonts w:ascii="Times New Roman" w:hAnsi="Times New Roman"/>
                      <w:color w:val="auto"/>
                      <w:kern w:val="2"/>
                      <w:sz w:val="21"/>
                      <w:szCs w:val="21"/>
                      <w:lang w:eastAsia="zh-CN"/>
                    </w:rPr>
                    <w:t>GB 18918-2002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04" w:type="dxa"/>
                  <w:tcBorders>
                    <w:tl2br w:val="nil"/>
                    <w:tr2bl w:val="nil"/>
                  </w:tcBorders>
                  <w:vAlign w:val="center"/>
                </w:tcPr>
                <w:p>
                  <w:pPr>
                    <w:pStyle w:val="49"/>
                    <w:autoSpaceDE/>
                    <w:autoSpaceDN/>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3</w:t>
                  </w:r>
                </w:p>
              </w:tc>
              <w:tc>
                <w:tcPr>
                  <w:tcW w:w="2763" w:type="dxa"/>
                  <w:tcBorders>
                    <w:tl2br w:val="nil"/>
                    <w:tr2bl w:val="nil"/>
                  </w:tcBorders>
                  <w:vAlign w:val="center"/>
                </w:tcPr>
                <w:p>
                  <w:pPr>
                    <w:pStyle w:val="41"/>
                    <w:spacing w:before="78" w:line="262" w:lineRule="exact"/>
                    <w:ind w:left="121" w:right="114"/>
                    <w:jc w:val="center"/>
                    <w:rPr>
                      <w:rFonts w:eastAsia="宋体"/>
                      <w:color w:val="auto"/>
                      <w:sz w:val="21"/>
                      <w:lang w:eastAsia="zh-CN"/>
                    </w:rPr>
                  </w:pPr>
                  <w:r>
                    <w:rPr>
                      <w:rFonts w:eastAsia="宋体"/>
                      <w:color w:val="auto"/>
                      <w:sz w:val="21"/>
                      <w:lang w:eastAsia="zh-CN"/>
                    </w:rPr>
                    <w:t>厂区甲烷体积浓度最高处*</w:t>
                  </w:r>
                </w:p>
              </w:tc>
              <w:tc>
                <w:tcPr>
                  <w:tcW w:w="2268" w:type="dxa"/>
                  <w:tcBorders>
                    <w:tl2br w:val="nil"/>
                    <w:tr2bl w:val="nil"/>
                  </w:tcBorders>
                  <w:vAlign w:val="center"/>
                </w:tcPr>
                <w:p>
                  <w:pPr>
                    <w:pStyle w:val="41"/>
                    <w:spacing w:before="78" w:line="262" w:lineRule="exact"/>
                    <w:ind w:left="34" w:right="29"/>
                    <w:jc w:val="center"/>
                    <w:rPr>
                      <w:rFonts w:eastAsia="宋体"/>
                      <w:color w:val="auto"/>
                      <w:sz w:val="21"/>
                      <w:lang w:eastAsia="en-US"/>
                    </w:rPr>
                  </w:pPr>
                  <w:r>
                    <w:rPr>
                      <w:rFonts w:eastAsia="宋体"/>
                      <w:color w:val="auto"/>
                      <w:sz w:val="21"/>
                      <w:lang w:eastAsia="en-US"/>
                    </w:rPr>
                    <w:t>甲烷</w:t>
                  </w:r>
                </w:p>
              </w:tc>
              <w:tc>
                <w:tcPr>
                  <w:tcW w:w="1144" w:type="dxa"/>
                  <w:tcBorders>
                    <w:tl2br w:val="nil"/>
                    <w:tr2bl w:val="nil"/>
                  </w:tcBorders>
                  <w:vAlign w:val="center"/>
                </w:tcPr>
                <w:p>
                  <w:pPr>
                    <w:pStyle w:val="41"/>
                    <w:spacing w:before="78" w:line="262" w:lineRule="exact"/>
                    <w:ind w:left="113" w:right="105"/>
                    <w:jc w:val="center"/>
                    <w:rPr>
                      <w:rFonts w:eastAsia="宋体"/>
                      <w:color w:val="auto"/>
                      <w:sz w:val="21"/>
                      <w:lang w:eastAsia="en-US"/>
                    </w:rPr>
                  </w:pPr>
                  <w:r>
                    <w:rPr>
                      <w:rFonts w:eastAsia="宋体"/>
                      <w:color w:val="auto"/>
                      <w:sz w:val="21"/>
                      <w:lang w:eastAsia="en-US"/>
                    </w:rPr>
                    <w:t>1 次/年</w:t>
                  </w:r>
                </w:p>
              </w:tc>
              <w:tc>
                <w:tcPr>
                  <w:tcW w:w="1711" w:type="dxa"/>
                  <w:tcBorders>
                    <w:tl2br w:val="nil"/>
                    <w:tr2bl w:val="nil"/>
                  </w:tcBorders>
                  <w:vAlign w:val="center"/>
                </w:tcPr>
                <w:p>
                  <w:pPr>
                    <w:pStyle w:val="49"/>
                    <w:autoSpaceDE/>
                    <w:autoSpaceDN/>
                    <w:jc w:val="center"/>
                    <w:rPr>
                      <w:rFonts w:ascii="Times New Roman" w:hAnsi="Times New Roman"/>
                      <w:color w:val="auto"/>
                      <w:kern w:val="2"/>
                      <w:sz w:val="21"/>
                      <w:szCs w:val="21"/>
                      <w:lang w:eastAsia="zh-CN"/>
                    </w:rPr>
                  </w:pPr>
                  <w:r>
                    <w:rPr>
                      <w:rFonts w:ascii="Times New Roman" w:hAnsi="Times New Roman"/>
                      <w:color w:val="auto"/>
                      <w:kern w:val="2"/>
                      <w:sz w:val="21"/>
                      <w:szCs w:val="21"/>
                      <w:lang w:eastAsia="zh-CN"/>
                    </w:rPr>
                    <w:t>GB 18918-2002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590" w:type="dxa"/>
                  <w:gridSpan w:val="5"/>
                  <w:tcBorders>
                    <w:tl2br w:val="nil"/>
                    <w:tr2bl w:val="nil"/>
                  </w:tcBorders>
                  <w:vAlign w:val="center"/>
                </w:tcPr>
                <w:p>
                  <w:pPr>
                    <w:pStyle w:val="41"/>
                    <w:spacing w:before="78" w:line="262" w:lineRule="exact"/>
                    <w:ind w:left="107"/>
                    <w:jc w:val="center"/>
                    <w:rPr>
                      <w:rFonts w:eastAsia="宋体"/>
                      <w:b/>
                      <w:color w:val="auto"/>
                      <w:sz w:val="21"/>
                      <w:lang w:eastAsia="zh-CN"/>
                    </w:rPr>
                  </w:pPr>
                  <w:r>
                    <w:rPr>
                      <w:rFonts w:eastAsia="宋体"/>
                      <w:b/>
                      <w:color w:val="auto"/>
                      <w:sz w:val="21"/>
                      <w:lang w:eastAsia="zh-CN"/>
                    </w:rPr>
                    <w:t>监测频次参照《排污单位自行监测技术指南 水处理》(HJ 1083-2020</w:t>
                  </w:r>
                  <w:r>
                    <w:rPr>
                      <w:rFonts w:hint="eastAsia" w:eastAsia="宋体"/>
                      <w:b/>
                      <w:color w:val="auto"/>
                      <w:sz w:val="21"/>
                      <w:lang w:eastAsia="zh-CN"/>
                    </w:rPr>
                    <w:t>）</w:t>
                  </w:r>
                  <w:r>
                    <w:rPr>
                      <w:rFonts w:eastAsia="宋体"/>
                      <w:b/>
                      <w:color w:val="auto"/>
                      <w:sz w:val="21"/>
                      <w:lang w:eastAsia="zh-CN"/>
                    </w:rPr>
                    <w:t>执行。</w:t>
                  </w:r>
                </w:p>
              </w:tc>
            </w:tr>
          </w:tbl>
          <w:p>
            <w:pPr>
              <w:adjustRightInd w:val="0"/>
              <w:snapToGrid w:val="0"/>
              <w:spacing w:line="360" w:lineRule="auto"/>
              <w:ind w:firstLine="400" w:firstLineChars="200"/>
              <w:jc w:val="left"/>
              <w:rPr>
                <w:rFonts w:ascii="Times New Roman" w:hAnsi="Times New Roman" w:eastAsia="宋体" w:cs="Times New Roman"/>
                <w:b/>
                <w:color w:val="auto"/>
                <w:kern w:val="0"/>
                <w:szCs w:val="21"/>
              </w:rPr>
            </w:pPr>
            <w:r>
              <w:rPr>
                <w:rFonts w:hint="eastAsia" w:ascii="Times New Roman" w:hAnsi="Times New Roman" w:eastAsia="宋体" w:cs="Times New Roman"/>
                <w:b/>
                <w:color w:val="auto"/>
                <w:w w:val="95"/>
                <w:szCs w:val="21"/>
                <w:lang w:eastAsia="zh-CN"/>
              </w:rPr>
              <w:t>*</w:t>
            </w:r>
            <w:r>
              <w:rPr>
                <w:rFonts w:ascii="Times New Roman" w:hAnsi="Times New Roman" w:eastAsia="宋体" w:cs="Times New Roman"/>
                <w:b/>
                <w:color w:val="auto"/>
                <w:w w:val="95"/>
                <w:szCs w:val="21"/>
              </w:rPr>
              <w:t>注：</w:t>
            </w:r>
            <w:r>
              <w:rPr>
                <w:rFonts w:ascii="Times New Roman" w:hAnsi="Times New Roman" w:eastAsia="宋体" w:cs="Times New Roman"/>
                <w:b/>
                <w:color w:val="auto"/>
                <w:kern w:val="0"/>
                <w:szCs w:val="21"/>
              </w:rPr>
              <w:t>防护带边缘的浓度最高点，通常位于靠近污泥脱水机房附近；厂区甲烷体积浓度最高   处，通常位于格栅、初沉池、污泥消化池、污泥浓缩池、污泥脱水机房等位置，选取</w:t>
            </w:r>
            <w:r>
              <w:rPr>
                <w:rFonts w:ascii="Times New Roman" w:hAnsi="Times New Roman" w:eastAsia="宋体" w:cs="Times New Roman"/>
                <w:b/>
                <w:bCs/>
                <w:color w:val="auto"/>
                <w:kern w:val="0"/>
                <w:szCs w:val="21"/>
              </w:rPr>
              <w:t>浓度最高点设置监测点</w:t>
            </w:r>
            <w:r>
              <w:rPr>
                <w:rFonts w:ascii="Times New Roman" w:hAnsi="Times New Roman" w:eastAsia="宋体" w:cs="Times New Roman"/>
                <w:b/>
                <w:color w:val="auto"/>
                <w:kern w:val="0"/>
                <w:szCs w:val="21"/>
              </w:rPr>
              <w:t>。</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4.5.</w:t>
            </w:r>
            <w:r>
              <w:rPr>
                <w:rFonts w:hint="eastAsia" w:ascii="Times New Roman" w:hAnsi="Times New Roman" w:eastAsia="宋体" w:cs="Times New Roman"/>
                <w:b/>
                <w:bCs/>
                <w:color w:val="auto"/>
                <w:kern w:val="0"/>
                <w:sz w:val="24"/>
                <w:szCs w:val="24"/>
                <w:lang w:val="en-US" w:eastAsia="zh-CN"/>
              </w:rPr>
              <w:t>8</w:t>
            </w:r>
            <w:r>
              <w:rPr>
                <w:rFonts w:ascii="Times New Roman" w:hAnsi="Times New Roman" w:eastAsia="宋体" w:cs="Times New Roman"/>
                <w:b/>
                <w:bCs/>
                <w:color w:val="auto"/>
                <w:kern w:val="0"/>
                <w:sz w:val="24"/>
                <w:szCs w:val="24"/>
              </w:rPr>
              <w:t>本项目废气排放的环境影响分析</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产生的废气主要为污水处理构筑物及污泥脱水产生的恶臭。恶臭对人体健康的影响包括呼吸系统、循环系统、消化系统和精神上四个方面。对呼吸系统影响表现为当人们嗅到恶臭时，会产生反射性抑制吸气，使呼吸次数减缓，呼吸深度变浅；对循环系统的影响表现在呼吸的变化伴随着脉搏血压的变化；对消化系统的影响表现在厌食、恶心呕吐；对精神上的影响主要是使人产生不安等。本项目所在区域属于环境空气质量达标区，周边氨和硫化氢小时值能达到《环境影响评价技术导则 大气环境》(HJ 2.2-2018</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附录 D 中的浓度参考限值，臭气浓度一次值监控浓度范围均</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10</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无量纲</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。本项目工艺废气经上述处理方案后能够做到达标排放，排放的废气量较小，</w:t>
            </w:r>
            <w:r>
              <w:rPr>
                <w:rFonts w:hint="eastAsia" w:ascii="Times New Roman" w:hAnsi="Times New Roman" w:eastAsia="宋体" w:cs="Times New Roman"/>
                <w:color w:val="auto"/>
                <w:kern w:val="0"/>
                <w:sz w:val="24"/>
                <w:szCs w:val="24"/>
                <w:lang w:val="en-US" w:eastAsia="zh-CN"/>
              </w:rPr>
              <w:t>且繁峙县主导风向为东北风，项目下风向两公里范围内无村庄等居民聚集区</w:t>
            </w:r>
            <w:r>
              <w:rPr>
                <w:rFonts w:ascii="Times New Roman" w:hAnsi="Times New Roman" w:eastAsia="宋体" w:cs="Times New Roman"/>
                <w:color w:val="auto"/>
                <w:kern w:val="0"/>
                <w:sz w:val="24"/>
                <w:szCs w:val="24"/>
              </w:rPr>
              <w:t>。综上可知，本项目排放的废气对周边环境空气影响可接受。</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4.6废水</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详细分析见《地表水环境影响专项评价》。</w:t>
            </w:r>
          </w:p>
          <w:p>
            <w:pPr>
              <w:pStyle w:val="33"/>
              <w:numPr>
                <w:ilvl w:val="0"/>
                <w:numId w:val="4"/>
              </w:numPr>
              <w:adjustRightInd w:val="0"/>
              <w:snapToGrid w:val="0"/>
              <w:spacing w:line="360" w:lineRule="auto"/>
              <w:ind w:firstLineChars="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废水源强核算</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本项目为污水处理厂项目，废水经处理达标后进入滹沱河，项目建成后，总废水排放量为</w:t>
            </w:r>
            <w:r>
              <w:rPr>
                <w:rFonts w:hint="eastAsia" w:ascii="Times New Roman" w:hAnsi="Times New Roman" w:eastAsia="宋体" w:cs="Times New Roman"/>
                <w:color w:val="auto"/>
                <w:kern w:val="0"/>
                <w:sz w:val="24"/>
                <w:szCs w:val="24"/>
                <w:lang w:val="en-US" w:eastAsia="zh-CN"/>
              </w:rPr>
              <w:t>30</w:t>
            </w:r>
            <w:r>
              <w:rPr>
                <w:rFonts w:ascii="Times New Roman" w:hAnsi="Times New Roman" w:eastAsia="宋体" w:cs="Times New Roman"/>
                <w:color w:val="auto"/>
                <w:kern w:val="0"/>
                <w:sz w:val="24"/>
                <w:szCs w:val="24"/>
              </w:rPr>
              <w:t>000m</w:t>
            </w:r>
            <w:r>
              <w:rPr>
                <w:rFonts w:ascii="Times New Roman" w:hAnsi="Times New Roman" w:eastAsia="宋体" w:cs="Times New Roman"/>
                <w:color w:val="auto"/>
                <w:kern w:val="0"/>
                <w:sz w:val="24"/>
                <w:szCs w:val="24"/>
                <w:vertAlign w:val="superscript"/>
              </w:rPr>
              <w:t>3</w:t>
            </w:r>
            <w:r>
              <w:rPr>
                <w:rFonts w:ascii="Times New Roman" w:hAnsi="Times New Roman" w:eastAsia="宋体" w:cs="Times New Roman"/>
                <w:color w:val="auto"/>
                <w:kern w:val="0"/>
                <w:sz w:val="24"/>
                <w:szCs w:val="24"/>
              </w:rPr>
              <w:t>/d，污染物当量数为</w:t>
            </w:r>
            <w:r>
              <w:rPr>
                <w:rFonts w:hint="eastAsia" w:ascii="Times New Roman" w:hAnsi="Times New Roman" w:eastAsia="宋体" w:cs="Times New Roman"/>
                <w:color w:val="auto"/>
                <w:kern w:val="0"/>
                <w:sz w:val="24"/>
                <w:szCs w:val="24"/>
                <w:lang w:val="en-US" w:eastAsia="zh-CN"/>
              </w:rPr>
              <w:t>729720</w:t>
            </w:r>
            <w:r>
              <w:rPr>
                <w:rFonts w:ascii="Times New Roman" w:hAnsi="Times New Roman" w:eastAsia="宋体" w:cs="Times New Roman"/>
                <w:color w:val="auto"/>
                <w:kern w:val="0"/>
                <w:sz w:val="24"/>
                <w:szCs w:val="24"/>
              </w:rPr>
              <w:t>；处理后出水水质中COD、氨氮、总磷3项达到</w:t>
            </w:r>
            <w:r>
              <w:rPr>
                <w:rFonts w:hint="eastAsia" w:ascii="Times New Roman" w:hAnsi="Times New Roman" w:eastAsia="宋体" w:cs="Times New Roman"/>
                <w:color w:val="auto"/>
                <w:kern w:val="0"/>
                <w:sz w:val="24"/>
                <w:szCs w:val="24"/>
              </w:rPr>
              <w:t>地表水Ⅴ类标准</w:t>
            </w:r>
            <w:r>
              <w:rPr>
                <w:rFonts w:ascii="Times New Roman" w:hAnsi="Times New Roman" w:eastAsia="宋体" w:cs="Times New Roman"/>
                <w:color w:val="auto"/>
                <w:kern w:val="0"/>
                <w:sz w:val="24"/>
                <w:szCs w:val="24"/>
              </w:rPr>
              <w:t>，其余指标达到《城镇污水处理厂污染物排放标准》（GB18918-2002）一级标准中的A标准。通过位于本项目北侧的原有污水排放口，直接排入滹沱河。</w:t>
            </w:r>
          </w:p>
          <w:p>
            <w:pPr>
              <w:spacing w:line="480" w:lineRule="exact"/>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本项目污水中的主要污染物为BOD</w:t>
            </w:r>
            <w:r>
              <w:rPr>
                <w:rFonts w:ascii="Times New Roman" w:hAnsi="Times New Roman" w:eastAsia="宋体" w:cs="Times New Roman"/>
                <w:color w:val="auto"/>
                <w:sz w:val="24"/>
                <w:vertAlign w:val="subscript"/>
              </w:rPr>
              <w:t>5</w:t>
            </w:r>
            <w:r>
              <w:rPr>
                <w:rFonts w:ascii="Times New Roman" w:hAnsi="Times New Roman" w:eastAsia="宋体" w:cs="Times New Roman"/>
                <w:color w:val="auto"/>
                <w:sz w:val="24"/>
              </w:rPr>
              <w:t>、COD、SS、NH</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-N、TP、TN等，根据设计要求，进出水水质及处理效率见表4-7。</w:t>
            </w:r>
            <w:r>
              <w:rPr>
                <w:rFonts w:ascii="Times New Roman" w:hAnsi="Times New Roman" w:eastAsia="宋体" w:cs="Times New Roman"/>
                <w:bCs/>
                <w:color w:val="auto"/>
                <w:sz w:val="24"/>
              </w:rPr>
              <w:t>本项目废水污染源源强核算结果见表4-8。</w:t>
            </w:r>
          </w:p>
          <w:p>
            <w:pPr>
              <w:pStyle w:val="19"/>
              <w:spacing w:after="0" w:line="240" w:lineRule="auto"/>
              <w:ind w:firstLine="0" w:firstLineChars="0"/>
              <w:jc w:val="center"/>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表4-7  污水处理厂设计进、出水水质及处理效率</w:t>
            </w:r>
          </w:p>
          <w:tbl>
            <w:tblPr>
              <w:tblStyle w:val="24"/>
              <w:tblW w:w="859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86"/>
              <w:gridCol w:w="915"/>
              <w:gridCol w:w="1032"/>
              <w:gridCol w:w="1047"/>
              <w:gridCol w:w="1011"/>
              <w:gridCol w:w="1183"/>
              <w:gridCol w:w="865"/>
              <w:gridCol w:w="9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pStyle w:val="19"/>
                    <w:spacing w:after="0"/>
                    <w:ind w:firstLine="0" w:firstLineChars="0"/>
                    <w:jc w:val="center"/>
                    <w:rPr>
                      <w:b/>
                      <w:bCs/>
                      <w:color w:val="auto"/>
                      <w:szCs w:val="21"/>
                    </w:rPr>
                  </w:pPr>
                  <w:r>
                    <w:rPr>
                      <w:b/>
                      <w:bCs/>
                      <w:color w:val="auto"/>
                      <w:szCs w:val="21"/>
                    </w:rPr>
                    <w:t>水质指标</w:t>
                  </w:r>
                </w:p>
              </w:tc>
              <w:tc>
                <w:tcPr>
                  <w:tcW w:w="915" w:type="dxa"/>
                  <w:tcBorders>
                    <w:tl2br w:val="nil"/>
                    <w:tr2bl w:val="nil"/>
                  </w:tcBorders>
                  <w:vAlign w:val="center"/>
                </w:tcPr>
                <w:p>
                  <w:pPr>
                    <w:pStyle w:val="19"/>
                    <w:spacing w:after="0"/>
                    <w:ind w:firstLine="0" w:firstLineChars="0"/>
                    <w:jc w:val="center"/>
                    <w:rPr>
                      <w:b/>
                      <w:bCs/>
                      <w:color w:val="auto"/>
                      <w:szCs w:val="21"/>
                    </w:rPr>
                  </w:pPr>
                  <w:r>
                    <w:rPr>
                      <w:b/>
                      <w:bCs/>
                      <w:color w:val="auto"/>
                      <w:szCs w:val="21"/>
                    </w:rPr>
                    <w:t>COD</w:t>
                  </w:r>
                </w:p>
              </w:tc>
              <w:tc>
                <w:tcPr>
                  <w:tcW w:w="1032" w:type="dxa"/>
                  <w:tcBorders>
                    <w:tl2br w:val="nil"/>
                    <w:tr2bl w:val="nil"/>
                  </w:tcBorders>
                  <w:vAlign w:val="center"/>
                </w:tcPr>
                <w:p>
                  <w:pPr>
                    <w:pStyle w:val="19"/>
                    <w:spacing w:after="0"/>
                    <w:ind w:firstLine="0" w:firstLineChars="0"/>
                    <w:jc w:val="center"/>
                    <w:rPr>
                      <w:b/>
                      <w:bCs/>
                      <w:color w:val="auto"/>
                      <w:szCs w:val="21"/>
                    </w:rPr>
                  </w:pPr>
                  <w:r>
                    <w:rPr>
                      <w:b/>
                      <w:bCs/>
                      <w:color w:val="auto"/>
                      <w:szCs w:val="21"/>
                    </w:rPr>
                    <w:t>BOD</w:t>
                  </w:r>
                  <w:r>
                    <w:rPr>
                      <w:b/>
                      <w:bCs/>
                      <w:color w:val="auto"/>
                      <w:szCs w:val="21"/>
                      <w:vertAlign w:val="subscript"/>
                    </w:rPr>
                    <w:t>5</w:t>
                  </w:r>
                </w:p>
              </w:tc>
              <w:tc>
                <w:tcPr>
                  <w:tcW w:w="1047" w:type="dxa"/>
                  <w:tcBorders>
                    <w:tl2br w:val="nil"/>
                    <w:tr2bl w:val="nil"/>
                  </w:tcBorders>
                  <w:vAlign w:val="center"/>
                </w:tcPr>
                <w:p>
                  <w:pPr>
                    <w:pStyle w:val="19"/>
                    <w:spacing w:after="0"/>
                    <w:ind w:firstLine="0" w:firstLineChars="0"/>
                    <w:jc w:val="center"/>
                    <w:rPr>
                      <w:b/>
                      <w:bCs/>
                      <w:color w:val="auto"/>
                      <w:szCs w:val="21"/>
                    </w:rPr>
                  </w:pPr>
                  <w:r>
                    <w:rPr>
                      <w:b/>
                      <w:bCs/>
                      <w:color w:val="auto"/>
                      <w:szCs w:val="21"/>
                    </w:rPr>
                    <w:t>SS</w:t>
                  </w:r>
                </w:p>
              </w:tc>
              <w:tc>
                <w:tcPr>
                  <w:tcW w:w="1011" w:type="dxa"/>
                  <w:tcBorders>
                    <w:tl2br w:val="nil"/>
                    <w:tr2bl w:val="nil"/>
                  </w:tcBorders>
                  <w:vAlign w:val="center"/>
                </w:tcPr>
                <w:p>
                  <w:pPr>
                    <w:pStyle w:val="19"/>
                    <w:spacing w:after="0"/>
                    <w:ind w:firstLine="0" w:firstLineChars="0"/>
                    <w:jc w:val="center"/>
                    <w:rPr>
                      <w:b/>
                      <w:bCs/>
                      <w:color w:val="auto"/>
                      <w:szCs w:val="21"/>
                    </w:rPr>
                  </w:pPr>
                  <w:r>
                    <w:rPr>
                      <w:b/>
                      <w:bCs/>
                      <w:color w:val="auto"/>
                      <w:szCs w:val="21"/>
                    </w:rPr>
                    <w:t>TN</w:t>
                  </w:r>
                </w:p>
              </w:tc>
              <w:tc>
                <w:tcPr>
                  <w:tcW w:w="1183" w:type="dxa"/>
                  <w:tcBorders>
                    <w:tl2br w:val="nil"/>
                    <w:tr2bl w:val="nil"/>
                  </w:tcBorders>
                  <w:vAlign w:val="center"/>
                </w:tcPr>
                <w:p>
                  <w:pPr>
                    <w:pStyle w:val="19"/>
                    <w:spacing w:after="0"/>
                    <w:ind w:firstLine="0" w:firstLineChars="0"/>
                    <w:jc w:val="center"/>
                    <w:rPr>
                      <w:b/>
                      <w:bCs/>
                      <w:color w:val="auto"/>
                      <w:szCs w:val="21"/>
                    </w:rPr>
                  </w:pPr>
                  <w:r>
                    <w:rPr>
                      <w:b/>
                      <w:bCs/>
                      <w:color w:val="auto"/>
                      <w:szCs w:val="21"/>
                    </w:rPr>
                    <w:t>NH</w:t>
                  </w:r>
                  <w:r>
                    <w:rPr>
                      <w:b/>
                      <w:bCs/>
                      <w:color w:val="auto"/>
                      <w:szCs w:val="21"/>
                      <w:vertAlign w:val="subscript"/>
                    </w:rPr>
                    <w:t>3</w:t>
                  </w:r>
                  <w:r>
                    <w:rPr>
                      <w:b/>
                      <w:bCs/>
                      <w:color w:val="auto"/>
                      <w:szCs w:val="21"/>
                    </w:rPr>
                    <w:t>-N</w:t>
                  </w:r>
                </w:p>
              </w:tc>
              <w:tc>
                <w:tcPr>
                  <w:tcW w:w="865" w:type="dxa"/>
                  <w:tcBorders>
                    <w:tl2br w:val="nil"/>
                    <w:tr2bl w:val="nil"/>
                  </w:tcBorders>
                  <w:vAlign w:val="center"/>
                </w:tcPr>
                <w:p>
                  <w:pPr>
                    <w:pStyle w:val="19"/>
                    <w:spacing w:after="0"/>
                    <w:ind w:firstLine="0" w:firstLineChars="0"/>
                    <w:jc w:val="center"/>
                    <w:rPr>
                      <w:b/>
                      <w:bCs/>
                      <w:color w:val="auto"/>
                      <w:szCs w:val="21"/>
                    </w:rPr>
                  </w:pPr>
                  <w:r>
                    <w:rPr>
                      <w:b/>
                      <w:bCs/>
                      <w:color w:val="auto"/>
                      <w:szCs w:val="21"/>
                    </w:rPr>
                    <w:t>TP</w:t>
                  </w:r>
                </w:p>
              </w:tc>
              <w:tc>
                <w:tcPr>
                  <w:tcW w:w="954" w:type="dxa"/>
                  <w:tcBorders>
                    <w:tl2br w:val="nil"/>
                    <w:tr2bl w:val="nil"/>
                  </w:tcBorders>
                  <w:vAlign w:val="center"/>
                </w:tcPr>
                <w:p>
                  <w:pPr>
                    <w:pStyle w:val="19"/>
                    <w:spacing w:after="0"/>
                    <w:ind w:firstLine="0" w:firstLineChars="0"/>
                    <w:jc w:val="center"/>
                    <w:rPr>
                      <w:b/>
                      <w:bCs/>
                      <w:color w:val="auto"/>
                      <w:szCs w:val="21"/>
                    </w:rPr>
                  </w:pPr>
                  <w:r>
                    <w:rPr>
                      <w:b/>
                      <w:bCs/>
                      <w:color w:val="auto"/>
                      <w:szCs w:val="21"/>
                    </w:rPr>
                    <w:t>pH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pStyle w:val="19"/>
                    <w:spacing w:after="0"/>
                    <w:ind w:left="-105" w:leftChars="-50" w:right="-105" w:rightChars="-50" w:firstLine="0" w:firstLineChars="0"/>
                    <w:jc w:val="center"/>
                    <w:rPr>
                      <w:color w:val="auto"/>
                      <w:szCs w:val="21"/>
                    </w:rPr>
                  </w:pPr>
                  <w:r>
                    <w:rPr>
                      <w:color w:val="auto"/>
                      <w:szCs w:val="21"/>
                    </w:rPr>
                    <w:t>设计进水水质</w:t>
                  </w:r>
                </w:p>
                <w:p>
                  <w:pPr>
                    <w:pStyle w:val="19"/>
                    <w:spacing w:after="0"/>
                    <w:ind w:left="-105" w:leftChars="-50" w:right="-105" w:rightChars="-50" w:firstLine="0" w:firstLineChars="0"/>
                    <w:jc w:val="center"/>
                    <w:rPr>
                      <w:color w:val="auto"/>
                      <w:szCs w:val="21"/>
                    </w:rPr>
                  </w:pPr>
                  <w:r>
                    <w:rPr>
                      <w:color w:val="auto"/>
                      <w:szCs w:val="21"/>
                    </w:rPr>
                    <w:t>（mg/L）</w:t>
                  </w:r>
                </w:p>
              </w:tc>
              <w:tc>
                <w:tcPr>
                  <w:tcW w:w="915" w:type="dxa"/>
                  <w:tcBorders>
                    <w:tl2br w:val="nil"/>
                    <w:tr2bl w:val="nil"/>
                  </w:tcBorders>
                  <w:vAlign w:val="center"/>
                </w:tcPr>
                <w:p>
                  <w:pPr>
                    <w:pStyle w:val="19"/>
                    <w:spacing w:after="0"/>
                    <w:ind w:firstLine="0" w:firstLineChars="0"/>
                    <w:jc w:val="center"/>
                    <w:rPr>
                      <w:rFonts w:hint="default" w:eastAsia="宋体"/>
                      <w:color w:val="auto"/>
                      <w:szCs w:val="21"/>
                      <w:lang w:val="en-US" w:eastAsia="zh-CN"/>
                    </w:rPr>
                  </w:pPr>
                  <w:r>
                    <w:rPr>
                      <w:rFonts w:hint="eastAsia"/>
                      <w:color w:val="auto"/>
                      <w:szCs w:val="21"/>
                      <w:lang w:val="en-US" w:eastAsia="zh-CN"/>
                    </w:rPr>
                    <w:t>300</w:t>
                  </w:r>
                </w:p>
              </w:tc>
              <w:tc>
                <w:tcPr>
                  <w:tcW w:w="1032" w:type="dxa"/>
                  <w:tcBorders>
                    <w:tl2br w:val="nil"/>
                    <w:tr2bl w:val="nil"/>
                  </w:tcBorders>
                  <w:vAlign w:val="center"/>
                </w:tcPr>
                <w:p>
                  <w:pPr>
                    <w:pStyle w:val="19"/>
                    <w:spacing w:after="0"/>
                    <w:ind w:firstLine="0" w:firstLineChars="0"/>
                    <w:jc w:val="center"/>
                    <w:rPr>
                      <w:rFonts w:hint="default" w:eastAsia="宋体"/>
                      <w:color w:val="auto"/>
                      <w:szCs w:val="21"/>
                      <w:lang w:val="en-US" w:eastAsia="zh-CN"/>
                    </w:rPr>
                  </w:pPr>
                  <w:r>
                    <w:rPr>
                      <w:rFonts w:hint="eastAsia"/>
                      <w:color w:val="auto"/>
                      <w:szCs w:val="21"/>
                      <w:lang w:val="en-US" w:eastAsia="zh-CN"/>
                    </w:rPr>
                    <w:t>160</w:t>
                  </w:r>
                </w:p>
              </w:tc>
              <w:tc>
                <w:tcPr>
                  <w:tcW w:w="1047" w:type="dxa"/>
                  <w:tcBorders>
                    <w:tl2br w:val="nil"/>
                    <w:tr2bl w:val="nil"/>
                  </w:tcBorders>
                  <w:vAlign w:val="center"/>
                </w:tcPr>
                <w:p>
                  <w:pPr>
                    <w:pStyle w:val="19"/>
                    <w:spacing w:after="0"/>
                    <w:ind w:firstLine="0" w:firstLineChars="0"/>
                    <w:jc w:val="center"/>
                    <w:rPr>
                      <w:rFonts w:hint="default" w:eastAsia="宋体"/>
                      <w:color w:val="auto"/>
                      <w:szCs w:val="21"/>
                      <w:lang w:val="en-US" w:eastAsia="zh-CN"/>
                    </w:rPr>
                  </w:pPr>
                  <w:r>
                    <w:rPr>
                      <w:rFonts w:hint="eastAsia"/>
                      <w:color w:val="auto"/>
                      <w:szCs w:val="21"/>
                      <w:lang w:val="en-US" w:eastAsia="zh-CN"/>
                    </w:rPr>
                    <w:t>200</w:t>
                  </w:r>
                </w:p>
              </w:tc>
              <w:tc>
                <w:tcPr>
                  <w:tcW w:w="1011" w:type="dxa"/>
                  <w:tcBorders>
                    <w:tl2br w:val="nil"/>
                    <w:tr2bl w:val="nil"/>
                  </w:tcBorders>
                  <w:vAlign w:val="center"/>
                </w:tcPr>
                <w:p>
                  <w:pPr>
                    <w:pStyle w:val="19"/>
                    <w:spacing w:after="0"/>
                    <w:ind w:firstLine="0" w:firstLineChars="0"/>
                    <w:jc w:val="center"/>
                    <w:rPr>
                      <w:rFonts w:hint="default" w:eastAsia="宋体"/>
                      <w:color w:val="auto"/>
                      <w:szCs w:val="21"/>
                      <w:lang w:val="en-US" w:eastAsia="zh-CN"/>
                    </w:rPr>
                  </w:pPr>
                  <w:r>
                    <w:rPr>
                      <w:rFonts w:hint="eastAsia"/>
                      <w:color w:val="auto"/>
                      <w:szCs w:val="21"/>
                      <w:lang w:val="en-US" w:eastAsia="zh-CN"/>
                    </w:rPr>
                    <w:t>40</w:t>
                  </w:r>
                </w:p>
              </w:tc>
              <w:tc>
                <w:tcPr>
                  <w:tcW w:w="1183" w:type="dxa"/>
                  <w:tcBorders>
                    <w:tl2br w:val="nil"/>
                    <w:tr2bl w:val="nil"/>
                  </w:tcBorders>
                  <w:vAlign w:val="center"/>
                </w:tcPr>
                <w:p>
                  <w:pPr>
                    <w:pStyle w:val="19"/>
                    <w:spacing w:after="0"/>
                    <w:ind w:firstLine="0" w:firstLineChars="0"/>
                    <w:jc w:val="center"/>
                    <w:rPr>
                      <w:rFonts w:hint="default" w:eastAsia="宋体"/>
                      <w:color w:val="auto"/>
                      <w:szCs w:val="21"/>
                      <w:lang w:val="en-US" w:eastAsia="zh-CN"/>
                    </w:rPr>
                  </w:pPr>
                  <w:r>
                    <w:rPr>
                      <w:rFonts w:hint="eastAsia"/>
                      <w:color w:val="auto"/>
                      <w:szCs w:val="21"/>
                      <w:lang w:val="en-US" w:eastAsia="zh-CN"/>
                    </w:rPr>
                    <w:t>30</w:t>
                  </w:r>
                </w:p>
              </w:tc>
              <w:tc>
                <w:tcPr>
                  <w:tcW w:w="865" w:type="dxa"/>
                  <w:tcBorders>
                    <w:tl2br w:val="nil"/>
                    <w:tr2bl w:val="nil"/>
                  </w:tcBorders>
                  <w:vAlign w:val="center"/>
                </w:tcPr>
                <w:p>
                  <w:pPr>
                    <w:pStyle w:val="19"/>
                    <w:spacing w:after="0"/>
                    <w:ind w:firstLine="0" w:firstLineChars="0"/>
                    <w:jc w:val="center"/>
                    <w:rPr>
                      <w:rFonts w:hint="eastAsia" w:eastAsia="宋体"/>
                      <w:color w:val="auto"/>
                      <w:szCs w:val="21"/>
                      <w:lang w:eastAsia="zh-CN"/>
                    </w:rPr>
                  </w:pPr>
                  <w:r>
                    <w:rPr>
                      <w:rFonts w:hint="eastAsia"/>
                      <w:color w:val="auto"/>
                      <w:szCs w:val="21"/>
                      <w:lang w:val="en-US" w:eastAsia="zh-CN"/>
                    </w:rPr>
                    <w:t>3</w:t>
                  </w:r>
                </w:p>
              </w:tc>
              <w:tc>
                <w:tcPr>
                  <w:tcW w:w="954" w:type="dxa"/>
                  <w:tcBorders>
                    <w:tl2br w:val="nil"/>
                    <w:tr2bl w:val="nil"/>
                  </w:tcBorders>
                  <w:vAlign w:val="center"/>
                </w:tcPr>
                <w:p>
                  <w:pPr>
                    <w:pStyle w:val="19"/>
                    <w:spacing w:after="0"/>
                    <w:ind w:firstLine="0" w:firstLineChars="0"/>
                    <w:jc w:val="center"/>
                    <w:rPr>
                      <w:color w:val="auto"/>
                      <w:szCs w:val="21"/>
                    </w:rPr>
                  </w:pPr>
                  <w:r>
                    <w:rPr>
                      <w:color w:val="auto"/>
                      <w:szCs w:val="21"/>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pStyle w:val="19"/>
                    <w:spacing w:after="0"/>
                    <w:ind w:left="-105" w:leftChars="-50" w:right="-105" w:rightChars="-50" w:firstLine="0" w:firstLineChars="0"/>
                    <w:jc w:val="center"/>
                    <w:rPr>
                      <w:color w:val="auto"/>
                      <w:szCs w:val="21"/>
                    </w:rPr>
                  </w:pPr>
                  <w:r>
                    <w:rPr>
                      <w:color w:val="auto"/>
                      <w:szCs w:val="21"/>
                    </w:rPr>
                    <w:t>设计出水水质</w:t>
                  </w:r>
                </w:p>
                <w:p>
                  <w:pPr>
                    <w:pStyle w:val="19"/>
                    <w:spacing w:after="0"/>
                    <w:ind w:left="-105" w:leftChars="-50" w:right="-105" w:rightChars="-50" w:firstLine="0" w:firstLineChars="0"/>
                    <w:jc w:val="center"/>
                    <w:rPr>
                      <w:color w:val="auto"/>
                      <w:szCs w:val="21"/>
                    </w:rPr>
                  </w:pPr>
                  <w:r>
                    <w:rPr>
                      <w:color w:val="auto"/>
                      <w:szCs w:val="21"/>
                    </w:rPr>
                    <w:t>（mg/L）</w:t>
                  </w:r>
                </w:p>
              </w:tc>
              <w:tc>
                <w:tcPr>
                  <w:tcW w:w="915" w:type="dxa"/>
                  <w:tcBorders>
                    <w:tl2br w:val="nil"/>
                    <w:tr2bl w:val="nil"/>
                  </w:tcBorders>
                  <w:vAlign w:val="center"/>
                </w:tcPr>
                <w:p>
                  <w:pPr>
                    <w:pStyle w:val="19"/>
                    <w:spacing w:after="0"/>
                    <w:ind w:firstLine="0" w:firstLineChars="0"/>
                    <w:jc w:val="center"/>
                    <w:rPr>
                      <w:color w:val="auto"/>
                      <w:szCs w:val="21"/>
                    </w:rPr>
                  </w:pPr>
                  <w:r>
                    <w:rPr>
                      <w:color w:val="auto"/>
                      <w:szCs w:val="21"/>
                    </w:rPr>
                    <w:t>40</w:t>
                  </w:r>
                </w:p>
              </w:tc>
              <w:tc>
                <w:tcPr>
                  <w:tcW w:w="1032" w:type="dxa"/>
                  <w:tcBorders>
                    <w:tl2br w:val="nil"/>
                    <w:tr2bl w:val="nil"/>
                  </w:tcBorders>
                  <w:vAlign w:val="center"/>
                </w:tcPr>
                <w:p>
                  <w:pPr>
                    <w:pStyle w:val="19"/>
                    <w:spacing w:after="0"/>
                    <w:ind w:firstLine="0" w:firstLineChars="0"/>
                    <w:jc w:val="center"/>
                    <w:rPr>
                      <w:color w:val="auto"/>
                      <w:szCs w:val="21"/>
                    </w:rPr>
                  </w:pPr>
                  <w:r>
                    <w:rPr>
                      <w:color w:val="auto"/>
                      <w:szCs w:val="21"/>
                    </w:rPr>
                    <w:t>10</w:t>
                  </w:r>
                </w:p>
              </w:tc>
              <w:tc>
                <w:tcPr>
                  <w:tcW w:w="1047" w:type="dxa"/>
                  <w:tcBorders>
                    <w:tl2br w:val="nil"/>
                    <w:tr2bl w:val="nil"/>
                  </w:tcBorders>
                  <w:vAlign w:val="center"/>
                </w:tcPr>
                <w:p>
                  <w:pPr>
                    <w:pStyle w:val="19"/>
                    <w:spacing w:after="0"/>
                    <w:ind w:firstLine="0" w:firstLineChars="0"/>
                    <w:jc w:val="center"/>
                    <w:rPr>
                      <w:color w:val="auto"/>
                      <w:szCs w:val="21"/>
                    </w:rPr>
                  </w:pPr>
                  <w:r>
                    <w:rPr>
                      <w:color w:val="auto"/>
                      <w:szCs w:val="21"/>
                    </w:rPr>
                    <w:t>10</w:t>
                  </w:r>
                </w:p>
              </w:tc>
              <w:tc>
                <w:tcPr>
                  <w:tcW w:w="1011" w:type="dxa"/>
                  <w:tcBorders>
                    <w:tl2br w:val="nil"/>
                    <w:tr2bl w:val="nil"/>
                  </w:tcBorders>
                  <w:vAlign w:val="center"/>
                </w:tcPr>
                <w:p>
                  <w:pPr>
                    <w:pStyle w:val="19"/>
                    <w:spacing w:after="0"/>
                    <w:ind w:firstLine="0" w:firstLineChars="0"/>
                    <w:jc w:val="center"/>
                    <w:rPr>
                      <w:color w:val="auto"/>
                      <w:szCs w:val="21"/>
                    </w:rPr>
                  </w:pPr>
                  <w:r>
                    <w:rPr>
                      <w:color w:val="auto"/>
                      <w:szCs w:val="21"/>
                    </w:rPr>
                    <w:t>15</w:t>
                  </w:r>
                </w:p>
              </w:tc>
              <w:tc>
                <w:tcPr>
                  <w:tcW w:w="1183" w:type="dxa"/>
                  <w:tcBorders>
                    <w:tl2br w:val="nil"/>
                    <w:tr2bl w:val="nil"/>
                  </w:tcBorders>
                  <w:vAlign w:val="center"/>
                </w:tcPr>
                <w:p>
                  <w:pPr>
                    <w:pStyle w:val="19"/>
                    <w:spacing w:after="0"/>
                    <w:ind w:firstLine="0" w:firstLineChars="0"/>
                    <w:jc w:val="center"/>
                    <w:rPr>
                      <w:color w:val="auto"/>
                      <w:szCs w:val="21"/>
                    </w:rPr>
                  </w:pPr>
                  <w:r>
                    <w:rPr>
                      <w:color w:val="auto"/>
                      <w:szCs w:val="21"/>
                    </w:rPr>
                    <w:t>2</w:t>
                  </w:r>
                </w:p>
              </w:tc>
              <w:tc>
                <w:tcPr>
                  <w:tcW w:w="865" w:type="dxa"/>
                  <w:tcBorders>
                    <w:tl2br w:val="nil"/>
                    <w:tr2bl w:val="nil"/>
                  </w:tcBorders>
                  <w:vAlign w:val="center"/>
                </w:tcPr>
                <w:p>
                  <w:pPr>
                    <w:pStyle w:val="19"/>
                    <w:spacing w:after="0"/>
                    <w:ind w:firstLine="0" w:firstLineChars="0"/>
                    <w:jc w:val="center"/>
                    <w:rPr>
                      <w:color w:val="auto"/>
                      <w:szCs w:val="21"/>
                    </w:rPr>
                  </w:pPr>
                  <w:r>
                    <w:rPr>
                      <w:color w:val="auto"/>
                      <w:szCs w:val="21"/>
                    </w:rPr>
                    <w:t>0.4</w:t>
                  </w:r>
                </w:p>
              </w:tc>
              <w:tc>
                <w:tcPr>
                  <w:tcW w:w="954" w:type="dxa"/>
                  <w:tcBorders>
                    <w:tl2br w:val="nil"/>
                    <w:tr2bl w:val="nil"/>
                  </w:tcBorders>
                  <w:vAlign w:val="center"/>
                </w:tcPr>
                <w:p>
                  <w:pPr>
                    <w:pStyle w:val="19"/>
                    <w:spacing w:after="0"/>
                    <w:ind w:firstLine="0" w:firstLineChars="0"/>
                    <w:jc w:val="center"/>
                    <w:rPr>
                      <w:color w:val="auto"/>
                      <w:szCs w:val="21"/>
                    </w:rPr>
                  </w:pPr>
                  <w:r>
                    <w:rPr>
                      <w:color w:val="auto"/>
                      <w:szCs w:val="21"/>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86" w:type="dxa"/>
                  <w:tcBorders>
                    <w:tl2br w:val="nil"/>
                    <w:tr2bl w:val="nil"/>
                  </w:tcBorders>
                  <w:vAlign w:val="center"/>
                </w:tcPr>
                <w:p>
                  <w:pPr>
                    <w:pStyle w:val="19"/>
                    <w:spacing w:after="0"/>
                    <w:ind w:left="-105" w:leftChars="-50" w:right="-105" w:rightChars="-50" w:firstLine="0" w:firstLineChars="0"/>
                    <w:jc w:val="center"/>
                    <w:rPr>
                      <w:color w:val="auto"/>
                      <w:szCs w:val="21"/>
                    </w:rPr>
                  </w:pPr>
                  <w:r>
                    <w:rPr>
                      <w:color w:val="auto"/>
                      <w:szCs w:val="21"/>
                    </w:rPr>
                    <w:t>去除率（%）</w:t>
                  </w:r>
                </w:p>
              </w:tc>
              <w:tc>
                <w:tcPr>
                  <w:tcW w:w="915" w:type="dxa"/>
                  <w:tcBorders>
                    <w:tl2br w:val="nil"/>
                    <w:tr2bl w:val="nil"/>
                  </w:tcBorders>
                  <w:vAlign w:val="center"/>
                </w:tcPr>
                <w:p>
                  <w:pPr>
                    <w:pStyle w:val="19"/>
                    <w:spacing w:after="0"/>
                    <w:ind w:firstLine="0" w:firstLineChars="0"/>
                    <w:jc w:val="center"/>
                    <w:rPr>
                      <w:rFonts w:hint="default" w:eastAsia="宋体"/>
                      <w:color w:val="auto"/>
                      <w:szCs w:val="21"/>
                      <w:lang w:val="en-US" w:eastAsia="zh-CN"/>
                    </w:rPr>
                  </w:pPr>
                  <w:r>
                    <w:rPr>
                      <w:rFonts w:hint="eastAsia"/>
                      <w:color w:val="auto"/>
                      <w:szCs w:val="21"/>
                      <w:lang w:val="en-US" w:eastAsia="zh-CN"/>
                    </w:rPr>
                    <w:t>86.67</w:t>
                  </w:r>
                </w:p>
              </w:tc>
              <w:tc>
                <w:tcPr>
                  <w:tcW w:w="1032" w:type="dxa"/>
                  <w:tcBorders>
                    <w:tl2br w:val="nil"/>
                    <w:tr2bl w:val="nil"/>
                  </w:tcBorders>
                  <w:vAlign w:val="center"/>
                </w:tcPr>
                <w:p>
                  <w:pPr>
                    <w:pStyle w:val="19"/>
                    <w:spacing w:after="0"/>
                    <w:ind w:firstLine="0" w:firstLineChars="0"/>
                    <w:jc w:val="center"/>
                    <w:rPr>
                      <w:rFonts w:hint="default" w:eastAsia="宋体"/>
                      <w:color w:val="auto"/>
                      <w:szCs w:val="21"/>
                      <w:lang w:val="en-US" w:eastAsia="zh-CN"/>
                    </w:rPr>
                  </w:pPr>
                  <w:r>
                    <w:rPr>
                      <w:rFonts w:hint="eastAsia"/>
                      <w:color w:val="auto"/>
                      <w:szCs w:val="21"/>
                      <w:lang w:val="en-US" w:eastAsia="zh-CN"/>
                    </w:rPr>
                    <w:t>93.75</w:t>
                  </w:r>
                </w:p>
              </w:tc>
              <w:tc>
                <w:tcPr>
                  <w:tcW w:w="1047" w:type="dxa"/>
                  <w:tcBorders>
                    <w:tl2br w:val="nil"/>
                    <w:tr2bl w:val="nil"/>
                  </w:tcBorders>
                  <w:vAlign w:val="center"/>
                </w:tcPr>
                <w:p>
                  <w:pPr>
                    <w:pStyle w:val="19"/>
                    <w:spacing w:after="0"/>
                    <w:ind w:firstLine="0" w:firstLineChars="0"/>
                    <w:jc w:val="center"/>
                    <w:rPr>
                      <w:rFonts w:hint="eastAsia" w:eastAsia="宋体"/>
                      <w:color w:val="auto"/>
                      <w:szCs w:val="21"/>
                      <w:lang w:eastAsia="zh-CN"/>
                    </w:rPr>
                  </w:pPr>
                  <w:r>
                    <w:rPr>
                      <w:color w:val="auto"/>
                      <w:szCs w:val="21"/>
                    </w:rPr>
                    <w:t>9</w:t>
                  </w:r>
                  <w:r>
                    <w:rPr>
                      <w:rFonts w:hint="eastAsia"/>
                      <w:color w:val="auto"/>
                      <w:szCs w:val="21"/>
                      <w:lang w:val="en-US" w:eastAsia="zh-CN"/>
                    </w:rPr>
                    <w:t>5</w:t>
                  </w:r>
                </w:p>
              </w:tc>
              <w:tc>
                <w:tcPr>
                  <w:tcW w:w="1011" w:type="dxa"/>
                  <w:tcBorders>
                    <w:tl2br w:val="nil"/>
                    <w:tr2bl w:val="nil"/>
                  </w:tcBorders>
                  <w:vAlign w:val="center"/>
                </w:tcPr>
                <w:p>
                  <w:pPr>
                    <w:pStyle w:val="19"/>
                    <w:spacing w:after="0"/>
                    <w:ind w:firstLine="0" w:firstLineChars="0"/>
                    <w:jc w:val="center"/>
                    <w:rPr>
                      <w:rFonts w:hint="default" w:eastAsia="宋体"/>
                      <w:color w:val="auto"/>
                      <w:szCs w:val="21"/>
                      <w:lang w:val="en-US" w:eastAsia="zh-CN"/>
                    </w:rPr>
                  </w:pPr>
                  <w:r>
                    <w:rPr>
                      <w:rFonts w:hint="eastAsia"/>
                      <w:color w:val="auto"/>
                      <w:szCs w:val="21"/>
                      <w:lang w:val="en-US" w:eastAsia="zh-CN"/>
                    </w:rPr>
                    <w:t>62.5</w:t>
                  </w:r>
                </w:p>
              </w:tc>
              <w:tc>
                <w:tcPr>
                  <w:tcW w:w="1183" w:type="dxa"/>
                  <w:tcBorders>
                    <w:tl2br w:val="nil"/>
                    <w:tr2bl w:val="nil"/>
                  </w:tcBorders>
                  <w:vAlign w:val="center"/>
                </w:tcPr>
                <w:p>
                  <w:pPr>
                    <w:pStyle w:val="19"/>
                    <w:spacing w:after="0"/>
                    <w:ind w:firstLine="0" w:firstLineChars="0"/>
                    <w:jc w:val="center"/>
                    <w:rPr>
                      <w:rFonts w:hint="default" w:eastAsia="宋体"/>
                      <w:color w:val="auto"/>
                      <w:szCs w:val="21"/>
                      <w:lang w:val="en-US" w:eastAsia="zh-CN"/>
                    </w:rPr>
                  </w:pPr>
                  <w:r>
                    <w:rPr>
                      <w:rFonts w:hint="eastAsia"/>
                      <w:color w:val="auto"/>
                      <w:szCs w:val="21"/>
                      <w:lang w:val="en-US" w:eastAsia="zh-CN"/>
                    </w:rPr>
                    <w:t>93.33</w:t>
                  </w:r>
                </w:p>
              </w:tc>
              <w:tc>
                <w:tcPr>
                  <w:tcW w:w="865" w:type="dxa"/>
                  <w:tcBorders>
                    <w:tl2br w:val="nil"/>
                    <w:tr2bl w:val="nil"/>
                  </w:tcBorders>
                  <w:vAlign w:val="center"/>
                </w:tcPr>
                <w:p>
                  <w:pPr>
                    <w:pStyle w:val="19"/>
                    <w:spacing w:after="0"/>
                    <w:ind w:firstLine="0" w:firstLineChars="0"/>
                    <w:jc w:val="center"/>
                    <w:rPr>
                      <w:color w:val="auto"/>
                      <w:szCs w:val="21"/>
                    </w:rPr>
                  </w:pPr>
                  <w:r>
                    <w:rPr>
                      <w:rFonts w:hint="eastAsia"/>
                      <w:color w:val="auto"/>
                      <w:szCs w:val="21"/>
                      <w:lang w:val="en-US" w:eastAsia="zh-CN"/>
                    </w:rPr>
                    <w:t>86.67</w:t>
                  </w:r>
                </w:p>
              </w:tc>
              <w:tc>
                <w:tcPr>
                  <w:tcW w:w="954" w:type="dxa"/>
                  <w:tcBorders>
                    <w:tl2br w:val="nil"/>
                    <w:tr2bl w:val="nil"/>
                  </w:tcBorders>
                  <w:vAlign w:val="center"/>
                </w:tcPr>
                <w:p>
                  <w:pPr>
                    <w:pStyle w:val="19"/>
                    <w:spacing w:after="0"/>
                    <w:ind w:firstLine="0" w:firstLineChars="0"/>
                    <w:jc w:val="center"/>
                    <w:rPr>
                      <w:color w:val="auto"/>
                      <w:szCs w:val="21"/>
                    </w:rPr>
                  </w:pPr>
                  <w:r>
                    <w:rPr>
                      <w:color w:val="auto"/>
                      <w:szCs w:val="21"/>
                    </w:rPr>
                    <w:t>/</w:t>
                  </w:r>
                </w:p>
              </w:tc>
            </w:tr>
          </w:tbl>
          <w:p>
            <w:pPr>
              <w:pStyle w:val="19"/>
              <w:spacing w:after="0" w:line="240" w:lineRule="auto"/>
              <w:ind w:firstLine="0" w:firstLineChars="0"/>
              <w:jc w:val="center"/>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表4-8  废水污染源源强核算结果及相关参数一览表</w:t>
            </w:r>
          </w:p>
          <w:tbl>
            <w:tblPr>
              <w:tblStyle w:val="24"/>
              <w:tblW w:w="864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29"/>
              <w:gridCol w:w="240"/>
              <w:gridCol w:w="463"/>
              <w:gridCol w:w="480"/>
              <w:gridCol w:w="495"/>
              <w:gridCol w:w="353"/>
              <w:gridCol w:w="847"/>
              <w:gridCol w:w="255"/>
              <w:gridCol w:w="240"/>
              <w:gridCol w:w="465"/>
              <w:gridCol w:w="705"/>
              <w:gridCol w:w="555"/>
              <w:gridCol w:w="270"/>
              <w:gridCol w:w="510"/>
              <w:gridCol w:w="735"/>
              <w:gridCol w:w="405"/>
              <w:gridCol w:w="240"/>
              <w:gridCol w:w="8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9"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lang w:bidi="ar"/>
                    </w:rPr>
                  </w:pPr>
                  <w:r>
                    <w:rPr>
                      <w:rFonts w:ascii="Times New Roman" w:hAnsi="Times New Roman" w:cs="Times New Roman"/>
                      <w:b/>
                      <w:bCs w:val="0"/>
                      <w:color w:val="auto"/>
                      <w:szCs w:val="21"/>
                      <w:lang w:bidi="ar"/>
                    </w:rPr>
                    <w:t>污水处理站名称</w:t>
                  </w:r>
                </w:p>
              </w:tc>
              <w:tc>
                <w:tcPr>
                  <w:tcW w:w="240"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产排污环节</w:t>
                  </w:r>
                </w:p>
                <w:p>
                  <w:pPr>
                    <w:adjustRightInd w:val="0"/>
                    <w:snapToGrid w:val="0"/>
                    <w:ind w:left="-105" w:leftChars="-50" w:right="-105" w:rightChars="-50"/>
                    <w:jc w:val="center"/>
                    <w:rPr>
                      <w:rFonts w:ascii="Times New Roman" w:hAnsi="Times New Roman" w:cs="Times New Roman"/>
                      <w:b/>
                      <w:bCs w:val="0"/>
                      <w:color w:val="auto"/>
                      <w:szCs w:val="21"/>
                      <w:lang w:bidi="ar"/>
                    </w:rPr>
                  </w:pPr>
                </w:p>
              </w:tc>
              <w:tc>
                <w:tcPr>
                  <w:tcW w:w="463"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污染物种类</w:t>
                  </w:r>
                </w:p>
              </w:tc>
              <w:tc>
                <w:tcPr>
                  <w:tcW w:w="975" w:type="dxa"/>
                  <w:gridSpan w:val="2"/>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lang w:bidi="ar"/>
                    </w:rPr>
                  </w:pPr>
                  <w:r>
                    <w:rPr>
                      <w:rFonts w:ascii="Times New Roman" w:hAnsi="Times New Roman" w:cs="Times New Roman"/>
                      <w:b/>
                      <w:bCs w:val="0"/>
                      <w:color w:val="auto"/>
                      <w:szCs w:val="21"/>
                      <w:lang w:bidi="ar"/>
                    </w:rPr>
                    <w:t>污染物</w:t>
                  </w:r>
                </w:p>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产生情况</w:t>
                  </w:r>
                </w:p>
              </w:tc>
              <w:tc>
                <w:tcPr>
                  <w:tcW w:w="1695" w:type="dxa"/>
                  <w:gridSpan w:val="4"/>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治理设施</w:t>
                  </w:r>
                </w:p>
              </w:tc>
              <w:tc>
                <w:tcPr>
                  <w:tcW w:w="1725" w:type="dxa"/>
                  <w:gridSpan w:val="3"/>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排放情况</w:t>
                  </w:r>
                </w:p>
              </w:tc>
              <w:tc>
                <w:tcPr>
                  <w:tcW w:w="3022" w:type="dxa"/>
                  <w:gridSpan w:val="6"/>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排放口基本情况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9"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p>
              </w:tc>
              <w:tc>
                <w:tcPr>
                  <w:tcW w:w="463"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p>
              </w:tc>
              <w:tc>
                <w:tcPr>
                  <w:tcW w:w="480"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污染物产生量t/a</w:t>
                  </w:r>
                </w:p>
              </w:tc>
              <w:tc>
                <w:tcPr>
                  <w:tcW w:w="49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污染物产生浓度</w:t>
                  </w:r>
                </w:p>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mg/L</w:t>
                  </w:r>
                </w:p>
              </w:tc>
              <w:tc>
                <w:tcPr>
                  <w:tcW w:w="353"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lang w:bidi="ar"/>
                    </w:rPr>
                  </w:pPr>
                  <w:r>
                    <w:rPr>
                      <w:rFonts w:ascii="Times New Roman" w:hAnsi="Times New Roman" w:cs="Times New Roman"/>
                      <w:b/>
                      <w:bCs w:val="0"/>
                      <w:color w:val="auto"/>
                      <w:szCs w:val="21"/>
                      <w:lang w:bidi="ar"/>
                    </w:rPr>
                    <w:t>处理</w:t>
                  </w:r>
                </w:p>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能力</w:t>
                  </w:r>
                </w:p>
              </w:tc>
              <w:tc>
                <w:tcPr>
                  <w:tcW w:w="847"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治理工艺</w:t>
                  </w:r>
                </w:p>
              </w:tc>
              <w:tc>
                <w:tcPr>
                  <w:tcW w:w="25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治理效率</w:t>
                  </w:r>
                </w:p>
              </w:tc>
              <w:tc>
                <w:tcPr>
                  <w:tcW w:w="240"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lang w:bidi="ar"/>
                    </w:rPr>
                  </w:pPr>
                  <w:r>
                    <w:rPr>
                      <w:rFonts w:ascii="Times New Roman" w:hAnsi="Times New Roman" w:cs="Times New Roman"/>
                      <w:b/>
                      <w:bCs w:val="0"/>
                      <w:color w:val="auto"/>
                      <w:szCs w:val="21"/>
                      <w:lang w:bidi="ar"/>
                    </w:rPr>
                    <w:t>是否为可行</w:t>
                  </w:r>
                </w:p>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技术</w:t>
                  </w:r>
                </w:p>
              </w:tc>
              <w:tc>
                <w:tcPr>
                  <w:tcW w:w="46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lang w:bidi="ar"/>
                    </w:rPr>
                  </w:pPr>
                  <w:r>
                    <w:rPr>
                      <w:rFonts w:ascii="Times New Roman" w:hAnsi="Times New Roman" w:cs="Times New Roman"/>
                      <w:b/>
                      <w:bCs w:val="0"/>
                      <w:color w:val="auto"/>
                      <w:szCs w:val="21"/>
                      <w:lang w:bidi="ar"/>
                    </w:rPr>
                    <w:t>废水</w:t>
                  </w:r>
                </w:p>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排放量</w:t>
                  </w:r>
                </w:p>
              </w:tc>
              <w:tc>
                <w:tcPr>
                  <w:tcW w:w="70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污染物排放量t/a</w:t>
                  </w:r>
                </w:p>
              </w:tc>
              <w:tc>
                <w:tcPr>
                  <w:tcW w:w="55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污染物排放浓度</w:t>
                  </w:r>
                </w:p>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mg/L</w:t>
                  </w:r>
                </w:p>
              </w:tc>
              <w:tc>
                <w:tcPr>
                  <w:tcW w:w="270"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排放方式</w:t>
                  </w:r>
                </w:p>
              </w:tc>
              <w:tc>
                <w:tcPr>
                  <w:tcW w:w="510"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排放去向</w:t>
                  </w:r>
                </w:p>
              </w:tc>
              <w:tc>
                <w:tcPr>
                  <w:tcW w:w="73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排放规律</w:t>
                  </w:r>
                </w:p>
              </w:tc>
              <w:tc>
                <w:tcPr>
                  <w:tcW w:w="40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lang w:bidi="ar"/>
                    </w:rPr>
                  </w:pPr>
                  <w:r>
                    <w:rPr>
                      <w:rFonts w:ascii="Times New Roman" w:hAnsi="Times New Roman" w:cs="Times New Roman"/>
                      <w:b/>
                      <w:bCs w:val="0"/>
                      <w:color w:val="auto"/>
                      <w:szCs w:val="21"/>
                      <w:lang w:bidi="ar"/>
                    </w:rPr>
                    <w:t>编号</w:t>
                  </w:r>
                </w:p>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及名称</w:t>
                  </w:r>
                </w:p>
              </w:tc>
              <w:tc>
                <w:tcPr>
                  <w:tcW w:w="240"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r>
                    <w:rPr>
                      <w:rFonts w:ascii="Times New Roman" w:hAnsi="Times New Roman" w:cs="Times New Roman"/>
                      <w:b/>
                      <w:bCs w:val="0"/>
                      <w:color w:val="auto"/>
                      <w:szCs w:val="21"/>
                      <w:lang w:bidi="ar"/>
                    </w:rPr>
                    <w:t>类型</w:t>
                  </w:r>
                </w:p>
              </w:tc>
              <w:tc>
                <w:tcPr>
                  <w:tcW w:w="862" w:type="dxa"/>
                  <w:tcBorders>
                    <w:tl2br w:val="nil"/>
                    <w:tr2bl w:val="nil"/>
                  </w:tcBorders>
                  <w:vAlign w:val="center"/>
                </w:tcPr>
                <w:p>
                  <w:pPr>
                    <w:adjustRightInd w:val="0"/>
                    <w:snapToGrid w:val="0"/>
                    <w:ind w:left="-105" w:leftChars="-50" w:right="-105" w:rightChars="-50"/>
                    <w:jc w:val="center"/>
                    <w:rPr>
                      <w:rFonts w:ascii="Times New Roman" w:hAnsi="Times New Roman" w:cs="Times New Roman"/>
                      <w:b/>
                      <w:bCs w:val="0"/>
                      <w:color w:val="auto"/>
                      <w:szCs w:val="21"/>
                    </w:rPr>
                  </w:pPr>
                  <w:bookmarkStart w:id="7" w:name="_Hlk77319315"/>
                  <w:r>
                    <w:rPr>
                      <w:rFonts w:ascii="Times New Roman" w:hAnsi="Times New Roman" w:cs="Times New Roman"/>
                      <w:b/>
                      <w:bCs w:val="0"/>
                      <w:color w:val="auto"/>
                      <w:szCs w:val="21"/>
                      <w:lang w:bidi="ar"/>
                    </w:rPr>
                    <w:t>地理坐标</w:t>
                  </w:r>
                  <w:bookmarkEnd w:id="7"/>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9" w:type="dxa"/>
                  <w:vMerge w:val="restart"/>
                  <w:tcBorders>
                    <w:tl2br w:val="nil"/>
                    <w:tr2bl w:val="nil"/>
                  </w:tcBorders>
                  <w:vAlign w:val="center"/>
                </w:tcPr>
                <w:p>
                  <w:pPr>
                    <w:widowControl/>
                    <w:adjustRightInd w:val="0"/>
                    <w:snapToGrid w:val="0"/>
                    <w:ind w:left="-105" w:leftChars="-50" w:right="-105" w:rightChars="-50"/>
                    <w:jc w:val="center"/>
                    <w:rPr>
                      <w:rFonts w:ascii="Times New Roman" w:hAnsi="Times New Roman" w:cs="Times New Roman"/>
                      <w:color w:val="auto"/>
                      <w:spacing w:val="6"/>
                      <w:szCs w:val="21"/>
                    </w:rPr>
                  </w:pPr>
                  <w:r>
                    <w:rPr>
                      <w:rFonts w:hint="eastAsia" w:ascii="Times New Roman" w:hAnsi="Times New Roman" w:cs="Times New Roman"/>
                      <w:color w:val="auto"/>
                      <w:szCs w:val="21"/>
                      <w:lang w:val="en-US" w:eastAsia="zh-CN"/>
                    </w:rPr>
                    <w:t>繁峙县第二污水处理厂</w:t>
                  </w:r>
                </w:p>
              </w:tc>
              <w:tc>
                <w:tcPr>
                  <w:tcW w:w="240" w:type="dxa"/>
                  <w:vMerge w:val="restart"/>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eastAsiaTheme="minorEastAsia"/>
                      <w:bCs/>
                      <w:color w:val="auto"/>
                      <w:szCs w:val="21"/>
                      <w:lang w:val="en-US" w:eastAsia="zh-CN" w:bidi="ar"/>
                    </w:rPr>
                  </w:pPr>
                  <w:r>
                    <w:rPr>
                      <w:rFonts w:hint="eastAsia" w:ascii="Times New Roman" w:hAnsi="Times New Roman" w:cs="Times New Roman"/>
                      <w:bCs/>
                      <w:color w:val="auto"/>
                      <w:szCs w:val="21"/>
                      <w:lang w:val="en-US" w:eastAsia="zh-CN" w:bidi="ar"/>
                    </w:rPr>
                    <w:t>废水排放口</w:t>
                  </w:r>
                </w:p>
              </w:tc>
              <w:tc>
                <w:tcPr>
                  <w:tcW w:w="463" w:type="dxa"/>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r>
                    <w:rPr>
                      <w:rFonts w:ascii="Times New Roman" w:hAnsi="Times New Roman" w:cs="Times New Roman"/>
                      <w:color w:val="auto"/>
                      <w:szCs w:val="21"/>
                      <w:lang w:bidi="ar"/>
                    </w:rPr>
                    <w:t>COD</w:t>
                  </w:r>
                </w:p>
              </w:tc>
              <w:tc>
                <w:tcPr>
                  <w:tcW w:w="480"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szCs w:val="21"/>
                      <w:lang w:val="en-US" w:eastAsia="zh-CN" w:bidi="ar"/>
                    </w:rPr>
                  </w:pPr>
                  <w:r>
                    <w:rPr>
                      <w:rFonts w:hint="eastAsia" w:ascii="Times New Roman" w:hAnsi="Times New Roman" w:eastAsia="等线" w:cs="Times New Roman"/>
                      <w:color w:val="auto"/>
                      <w:szCs w:val="21"/>
                      <w:lang w:val="en-US" w:eastAsia="zh-CN"/>
                    </w:rPr>
                    <w:t>3285</w:t>
                  </w:r>
                </w:p>
              </w:tc>
              <w:tc>
                <w:tcPr>
                  <w:tcW w:w="49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3</w:t>
                  </w:r>
                  <w:r>
                    <w:rPr>
                      <w:rFonts w:hint="eastAsia" w:ascii="Times New Roman" w:hAnsi="Times New Roman" w:cs="Times New Roman"/>
                      <w:bCs/>
                      <w:color w:val="auto"/>
                      <w:szCs w:val="21"/>
                      <w:lang w:val="en-US" w:eastAsia="zh-CN" w:bidi="ar"/>
                    </w:rPr>
                    <w:t>0</w:t>
                  </w:r>
                  <w:r>
                    <w:rPr>
                      <w:rFonts w:ascii="Times New Roman" w:hAnsi="Times New Roman" w:cs="Times New Roman"/>
                      <w:bCs/>
                      <w:color w:val="auto"/>
                      <w:szCs w:val="21"/>
                      <w:lang w:bidi="ar"/>
                    </w:rPr>
                    <w:t>0</w:t>
                  </w:r>
                </w:p>
              </w:tc>
              <w:tc>
                <w:tcPr>
                  <w:tcW w:w="353"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hint="eastAsia" w:ascii="Times New Roman" w:hAnsi="Times New Roman" w:cs="Times New Roman"/>
                      <w:bCs/>
                      <w:color w:val="auto"/>
                      <w:szCs w:val="21"/>
                      <w:lang w:val="en-US" w:eastAsia="zh-CN" w:bidi="ar"/>
                    </w:rPr>
                    <w:t>30</w:t>
                  </w:r>
                  <w:r>
                    <w:rPr>
                      <w:rFonts w:ascii="Times New Roman" w:hAnsi="Times New Roman" w:cs="Times New Roman"/>
                      <w:bCs/>
                      <w:color w:val="auto"/>
                      <w:szCs w:val="21"/>
                      <w:lang w:bidi="ar"/>
                    </w:rPr>
                    <w:t>000</w:t>
                  </w:r>
                </w:p>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m</w:t>
                  </w:r>
                  <w:r>
                    <w:rPr>
                      <w:rFonts w:ascii="Times New Roman" w:hAnsi="Times New Roman" w:cs="Times New Roman"/>
                      <w:bCs/>
                      <w:color w:val="auto"/>
                      <w:szCs w:val="21"/>
                      <w:vertAlign w:val="superscript"/>
                      <w:lang w:bidi="ar"/>
                    </w:rPr>
                    <w:t>3</w:t>
                  </w:r>
                  <w:r>
                    <w:rPr>
                      <w:rFonts w:ascii="Times New Roman" w:hAnsi="Times New Roman" w:cs="Times New Roman"/>
                      <w:bCs/>
                      <w:color w:val="auto"/>
                      <w:szCs w:val="21"/>
                      <w:lang w:bidi="ar"/>
                    </w:rPr>
                    <w:t>/d</w:t>
                  </w:r>
                </w:p>
              </w:tc>
              <w:tc>
                <w:tcPr>
                  <w:tcW w:w="847"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r>
                    <w:rPr>
                      <w:rFonts w:ascii="Times New Roman" w:hAnsi="Times New Roman" w:cs="Times New Roman"/>
                      <w:color w:val="auto"/>
                      <w:szCs w:val="21"/>
                      <w:lang w:bidi="ar"/>
                    </w:rPr>
                    <w:t xml:space="preserve">预处理+ </w:t>
                  </w:r>
                  <w:r>
                    <w:rPr>
                      <w:rFonts w:hint="eastAsia" w:ascii="Times New Roman" w:hAnsi="Times New Roman" w:cs="Times New Roman"/>
                      <w:color w:val="auto"/>
                      <w:szCs w:val="21"/>
                      <w:lang w:val="en-US" w:eastAsia="zh-CN" w:bidi="ar"/>
                    </w:rPr>
                    <w:t>改良</w:t>
                  </w:r>
                  <w:r>
                    <w:rPr>
                      <w:rFonts w:ascii="Times New Roman" w:hAnsi="Times New Roman" w:cs="Times New Roman"/>
                      <w:color w:val="auto"/>
                      <w:szCs w:val="21"/>
                      <w:lang w:bidi="ar"/>
                    </w:rPr>
                    <w:t>A</w:t>
                  </w:r>
                  <w:r>
                    <w:rPr>
                      <w:rFonts w:ascii="Times New Roman" w:hAnsi="Times New Roman" w:cs="Times New Roman"/>
                      <w:color w:val="auto"/>
                      <w:szCs w:val="21"/>
                      <w:vertAlign w:val="superscript"/>
                      <w:lang w:bidi="ar"/>
                    </w:rPr>
                    <w:t>2</w:t>
                  </w:r>
                  <w:r>
                    <w:rPr>
                      <w:rFonts w:ascii="Times New Roman" w:hAnsi="Times New Roman" w:cs="Times New Roman"/>
                      <w:color w:val="auto"/>
                      <w:szCs w:val="21"/>
                      <w:lang w:bidi="ar"/>
                    </w:rPr>
                    <w:t>O</w:t>
                  </w:r>
                  <w:r>
                    <w:rPr>
                      <w:rFonts w:hint="eastAsia" w:ascii="Times New Roman" w:hAnsi="Times New Roman" w:cs="Times New Roman"/>
                      <w:color w:val="auto"/>
                      <w:szCs w:val="21"/>
                      <w:lang w:val="en-US" w:eastAsia="zh-CN" w:bidi="ar"/>
                    </w:rPr>
                    <w:t>生物池+二沉池+高密度沉淀池</w:t>
                  </w:r>
                  <w:r>
                    <w:rPr>
                      <w:rFonts w:ascii="Times New Roman" w:hAnsi="Times New Roman" w:cs="Times New Roman"/>
                      <w:color w:val="auto"/>
                      <w:szCs w:val="21"/>
                      <w:lang w:bidi="ar"/>
                    </w:rPr>
                    <w:t>+</w:t>
                  </w:r>
                  <w:r>
                    <w:rPr>
                      <w:rFonts w:hint="eastAsia" w:ascii="Times New Roman" w:hAnsi="Times New Roman" w:cs="Times New Roman"/>
                      <w:color w:val="auto"/>
                      <w:szCs w:val="21"/>
                      <w:lang w:val="en-US" w:eastAsia="zh-CN" w:bidi="ar"/>
                    </w:rPr>
                    <w:t>V型</w:t>
                  </w:r>
                  <w:r>
                    <w:rPr>
                      <w:rFonts w:ascii="Times New Roman" w:hAnsi="Times New Roman" w:cs="Times New Roman"/>
                      <w:color w:val="auto"/>
                      <w:szCs w:val="21"/>
                      <w:lang w:bidi="ar"/>
                    </w:rPr>
                    <w:t>滤池工艺</w:t>
                  </w:r>
                </w:p>
              </w:tc>
              <w:tc>
                <w:tcPr>
                  <w:tcW w:w="255"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见表4-6</w:t>
                  </w:r>
                </w:p>
              </w:tc>
              <w:tc>
                <w:tcPr>
                  <w:tcW w:w="240"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是</w:t>
                  </w:r>
                </w:p>
              </w:tc>
              <w:tc>
                <w:tcPr>
                  <w:tcW w:w="465"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hint="eastAsia" w:ascii="Times New Roman" w:hAnsi="Times New Roman" w:cs="Times New Roman"/>
                      <w:bCs/>
                      <w:color w:val="auto"/>
                      <w:szCs w:val="21"/>
                      <w:lang w:val="en-US" w:eastAsia="zh-CN" w:bidi="ar"/>
                    </w:rPr>
                    <w:t>30</w:t>
                  </w:r>
                  <w:r>
                    <w:rPr>
                      <w:rFonts w:ascii="Times New Roman" w:hAnsi="Times New Roman" w:cs="Times New Roman"/>
                      <w:bCs/>
                      <w:color w:val="auto"/>
                      <w:szCs w:val="21"/>
                      <w:lang w:bidi="ar"/>
                    </w:rPr>
                    <w:t>000</w:t>
                  </w:r>
                </w:p>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m</w:t>
                  </w:r>
                  <w:r>
                    <w:rPr>
                      <w:rFonts w:ascii="Times New Roman" w:hAnsi="Times New Roman" w:cs="Times New Roman"/>
                      <w:bCs/>
                      <w:color w:val="auto"/>
                      <w:szCs w:val="21"/>
                      <w:vertAlign w:val="superscript"/>
                      <w:lang w:bidi="ar"/>
                    </w:rPr>
                    <w:t>3</w:t>
                  </w:r>
                  <w:r>
                    <w:rPr>
                      <w:rFonts w:ascii="Times New Roman" w:hAnsi="Times New Roman" w:cs="Times New Roman"/>
                      <w:bCs/>
                      <w:color w:val="auto"/>
                      <w:szCs w:val="21"/>
                      <w:lang w:bidi="ar"/>
                    </w:rPr>
                    <w:t>/d</w:t>
                  </w:r>
                </w:p>
              </w:tc>
              <w:tc>
                <w:tcPr>
                  <w:tcW w:w="705"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kern w:val="21"/>
                      <w:szCs w:val="21"/>
                      <w:lang w:val="en-US" w:eastAsia="zh-CN" w:bidi="ar"/>
                    </w:rPr>
                  </w:pPr>
                  <w:r>
                    <w:rPr>
                      <w:rFonts w:hint="eastAsia" w:ascii="Times New Roman" w:hAnsi="Times New Roman" w:eastAsia="等线" w:cs="Times New Roman"/>
                      <w:color w:val="auto"/>
                      <w:szCs w:val="21"/>
                      <w:lang w:val="en-US" w:eastAsia="zh-CN"/>
                    </w:rPr>
                    <w:t>438</w:t>
                  </w:r>
                </w:p>
              </w:tc>
              <w:tc>
                <w:tcPr>
                  <w:tcW w:w="55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40</w:t>
                  </w:r>
                </w:p>
              </w:tc>
              <w:tc>
                <w:tcPr>
                  <w:tcW w:w="270"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直接排放</w:t>
                  </w:r>
                </w:p>
              </w:tc>
              <w:tc>
                <w:tcPr>
                  <w:tcW w:w="510"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滹沱河</w:t>
                  </w:r>
                </w:p>
              </w:tc>
              <w:tc>
                <w:tcPr>
                  <w:tcW w:w="735"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连续排放，排放期间流量稳定</w:t>
                  </w:r>
                </w:p>
              </w:tc>
              <w:tc>
                <w:tcPr>
                  <w:tcW w:w="405"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DW001</w:t>
                  </w:r>
                </w:p>
              </w:tc>
              <w:tc>
                <w:tcPr>
                  <w:tcW w:w="240" w:type="dxa"/>
                  <w:vMerge w:val="restart"/>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主</w:t>
                  </w:r>
                </w:p>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要</w:t>
                  </w:r>
                </w:p>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排</w:t>
                  </w:r>
                </w:p>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放</w:t>
                  </w:r>
                </w:p>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口</w:t>
                  </w:r>
                </w:p>
              </w:tc>
              <w:tc>
                <w:tcPr>
                  <w:tcW w:w="8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东经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113°13′40.804″，</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北纬</w:t>
                  </w:r>
                </w:p>
                <w:p>
                  <w:pPr>
                    <w:adjustRightInd w:val="0"/>
                    <w:snapToGrid w:val="0"/>
                    <w:ind w:left="-105" w:leftChars="-50" w:right="-105" w:rightChars="-50"/>
                    <w:jc w:val="center"/>
                    <w:rPr>
                      <w:rFonts w:ascii="Times New Roman" w:hAnsi="Times New Roman" w:cs="Times New Roman"/>
                      <w:color w:val="auto"/>
                      <w:szCs w:val="21"/>
                    </w:rPr>
                  </w:pPr>
                  <w:r>
                    <w:rPr>
                      <w:rFonts w:hint="default" w:ascii="Times New Roman" w:hAnsi="Times New Roman" w:eastAsia="宋体" w:cs="Times New Roman"/>
                      <w:color w:val="auto"/>
                      <w:szCs w:val="21"/>
                    </w:rPr>
                    <w:t>39°10′24.9″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9" w:type="dxa"/>
                  <w:vMerge w:val="continue"/>
                  <w:tcBorders>
                    <w:tl2br w:val="nil"/>
                    <w:tr2bl w:val="nil"/>
                  </w:tcBorders>
                  <w:vAlign w:val="center"/>
                </w:tcPr>
                <w:p>
                  <w:pPr>
                    <w:widowControl/>
                    <w:adjustRightInd w:val="0"/>
                    <w:snapToGrid w:val="0"/>
                    <w:ind w:left="-105" w:leftChars="-50" w:right="-105" w:rightChars="-50"/>
                    <w:jc w:val="center"/>
                    <w:rPr>
                      <w:rFonts w:ascii="Times New Roman" w:hAnsi="Times New Roman" w:cs="Times New Roman"/>
                      <w:color w:val="auto"/>
                      <w:spacing w:val="6"/>
                      <w:szCs w:val="21"/>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63" w:type="dxa"/>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r>
                    <w:rPr>
                      <w:rFonts w:ascii="Times New Roman" w:hAnsi="Times New Roman" w:cs="Times New Roman"/>
                      <w:color w:val="auto"/>
                      <w:szCs w:val="21"/>
                      <w:lang w:bidi="ar"/>
                    </w:rPr>
                    <w:t>BOD</w:t>
                  </w:r>
                  <w:r>
                    <w:rPr>
                      <w:rFonts w:ascii="Times New Roman" w:hAnsi="Times New Roman" w:cs="Times New Roman"/>
                      <w:color w:val="auto"/>
                      <w:szCs w:val="21"/>
                      <w:vertAlign w:val="subscript"/>
                      <w:lang w:bidi="ar"/>
                    </w:rPr>
                    <w:t>5</w:t>
                  </w:r>
                </w:p>
              </w:tc>
              <w:tc>
                <w:tcPr>
                  <w:tcW w:w="480"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szCs w:val="21"/>
                      <w:lang w:val="en-US" w:eastAsia="zh-CN" w:bidi="ar"/>
                    </w:rPr>
                  </w:pPr>
                  <w:r>
                    <w:rPr>
                      <w:rFonts w:hint="eastAsia" w:ascii="Times New Roman" w:hAnsi="Times New Roman" w:eastAsia="等线" w:cs="Times New Roman"/>
                      <w:color w:val="auto"/>
                      <w:szCs w:val="21"/>
                      <w:lang w:val="en-US" w:eastAsia="zh-CN"/>
                    </w:rPr>
                    <w:t>1752</w:t>
                  </w:r>
                </w:p>
              </w:tc>
              <w:tc>
                <w:tcPr>
                  <w:tcW w:w="495"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eastAsiaTheme="minorEastAsia"/>
                      <w:bCs/>
                      <w:color w:val="auto"/>
                      <w:szCs w:val="21"/>
                      <w:lang w:val="en-US" w:eastAsia="zh-CN" w:bidi="ar"/>
                    </w:rPr>
                  </w:pPr>
                  <w:r>
                    <w:rPr>
                      <w:rFonts w:ascii="Times New Roman" w:hAnsi="Times New Roman" w:cs="Times New Roman"/>
                      <w:bCs/>
                      <w:color w:val="auto"/>
                      <w:szCs w:val="21"/>
                      <w:lang w:bidi="ar"/>
                    </w:rPr>
                    <w:t>1</w:t>
                  </w:r>
                  <w:r>
                    <w:rPr>
                      <w:rFonts w:hint="eastAsia" w:ascii="Times New Roman" w:hAnsi="Times New Roman" w:cs="Times New Roman"/>
                      <w:bCs/>
                      <w:color w:val="auto"/>
                      <w:szCs w:val="21"/>
                      <w:lang w:val="en-US" w:eastAsia="zh-CN" w:bidi="ar"/>
                    </w:rPr>
                    <w:t>60</w:t>
                  </w:r>
                </w:p>
              </w:tc>
              <w:tc>
                <w:tcPr>
                  <w:tcW w:w="353"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847"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p>
              </w:tc>
              <w:tc>
                <w:tcPr>
                  <w:tcW w:w="25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6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705"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kern w:val="21"/>
                      <w:szCs w:val="21"/>
                      <w:lang w:val="en-US" w:eastAsia="zh-CN" w:bidi="ar"/>
                    </w:rPr>
                  </w:pPr>
                  <w:r>
                    <w:rPr>
                      <w:rFonts w:hint="eastAsia" w:ascii="Times New Roman" w:hAnsi="Times New Roman" w:cs="Times New Roman"/>
                      <w:color w:val="auto"/>
                      <w:kern w:val="21"/>
                      <w:szCs w:val="21"/>
                      <w:lang w:val="en-US" w:eastAsia="zh-CN" w:bidi="ar"/>
                    </w:rPr>
                    <w:t>109.5</w:t>
                  </w:r>
                </w:p>
              </w:tc>
              <w:tc>
                <w:tcPr>
                  <w:tcW w:w="55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10</w:t>
                  </w:r>
                </w:p>
              </w:tc>
              <w:tc>
                <w:tcPr>
                  <w:tcW w:w="27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51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73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0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862" w:type="dxa"/>
                  <w:vMerge w:val="continue"/>
                  <w:tcBorders>
                    <w:tl2br w:val="nil"/>
                    <w:tr2bl w:val="nil"/>
                  </w:tcBorders>
                  <w:vAlign w:val="center"/>
                </w:tcPr>
                <w:p>
                  <w:pPr>
                    <w:widowControl/>
                    <w:jc w:val="center"/>
                    <w:rPr>
                      <w:rFonts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9" w:type="dxa"/>
                  <w:vMerge w:val="continue"/>
                  <w:tcBorders>
                    <w:tl2br w:val="nil"/>
                    <w:tr2bl w:val="nil"/>
                  </w:tcBorders>
                  <w:vAlign w:val="center"/>
                </w:tcPr>
                <w:p>
                  <w:pPr>
                    <w:widowControl/>
                    <w:adjustRightInd w:val="0"/>
                    <w:snapToGrid w:val="0"/>
                    <w:ind w:left="-105" w:leftChars="-50" w:right="-105" w:rightChars="-50"/>
                    <w:jc w:val="center"/>
                    <w:rPr>
                      <w:rFonts w:ascii="Times New Roman" w:hAnsi="Times New Roman" w:cs="Times New Roman"/>
                      <w:color w:val="auto"/>
                      <w:spacing w:val="6"/>
                      <w:szCs w:val="21"/>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63" w:type="dxa"/>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r>
                    <w:rPr>
                      <w:rFonts w:ascii="Times New Roman" w:hAnsi="Times New Roman" w:cs="Times New Roman"/>
                      <w:color w:val="auto"/>
                      <w:szCs w:val="21"/>
                      <w:lang w:bidi="ar"/>
                    </w:rPr>
                    <w:t>NH</w:t>
                  </w:r>
                  <w:r>
                    <w:rPr>
                      <w:rFonts w:ascii="Times New Roman" w:hAnsi="Times New Roman" w:cs="Times New Roman"/>
                      <w:color w:val="auto"/>
                      <w:szCs w:val="21"/>
                      <w:vertAlign w:val="subscript"/>
                      <w:lang w:bidi="ar"/>
                    </w:rPr>
                    <w:t>3</w:t>
                  </w:r>
                  <w:r>
                    <w:rPr>
                      <w:rFonts w:ascii="Times New Roman" w:hAnsi="Times New Roman" w:cs="Times New Roman"/>
                      <w:color w:val="auto"/>
                      <w:szCs w:val="21"/>
                      <w:lang w:bidi="ar"/>
                    </w:rPr>
                    <w:t>-N</w:t>
                  </w:r>
                </w:p>
              </w:tc>
              <w:tc>
                <w:tcPr>
                  <w:tcW w:w="480"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szCs w:val="21"/>
                      <w:lang w:val="en-US" w:eastAsia="zh-CN" w:bidi="ar"/>
                    </w:rPr>
                  </w:pPr>
                  <w:r>
                    <w:rPr>
                      <w:rFonts w:hint="eastAsia" w:ascii="Times New Roman" w:hAnsi="Times New Roman" w:eastAsia="等线" w:cs="Times New Roman"/>
                      <w:color w:val="auto"/>
                      <w:szCs w:val="21"/>
                      <w:lang w:val="en-US" w:eastAsia="zh-CN"/>
                    </w:rPr>
                    <w:t>328.5</w:t>
                  </w:r>
                </w:p>
              </w:tc>
              <w:tc>
                <w:tcPr>
                  <w:tcW w:w="495"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eastAsiaTheme="minorEastAsia"/>
                      <w:bCs/>
                      <w:color w:val="auto"/>
                      <w:szCs w:val="21"/>
                      <w:lang w:val="en-US" w:eastAsia="zh-CN" w:bidi="ar"/>
                    </w:rPr>
                  </w:pPr>
                  <w:r>
                    <w:rPr>
                      <w:rFonts w:hint="eastAsia" w:ascii="Times New Roman" w:hAnsi="Times New Roman" w:cs="Times New Roman"/>
                      <w:bCs/>
                      <w:color w:val="auto"/>
                      <w:szCs w:val="21"/>
                      <w:lang w:val="en-US" w:eastAsia="zh-CN" w:bidi="ar"/>
                    </w:rPr>
                    <w:t>30</w:t>
                  </w:r>
                </w:p>
              </w:tc>
              <w:tc>
                <w:tcPr>
                  <w:tcW w:w="353"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847"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p>
              </w:tc>
              <w:tc>
                <w:tcPr>
                  <w:tcW w:w="25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6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705"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kern w:val="21"/>
                      <w:szCs w:val="21"/>
                      <w:lang w:val="en-US" w:eastAsia="zh-CN" w:bidi="ar"/>
                    </w:rPr>
                  </w:pPr>
                  <w:r>
                    <w:rPr>
                      <w:rFonts w:hint="eastAsia" w:ascii="Times New Roman" w:hAnsi="Times New Roman" w:eastAsia="等线" w:cs="Times New Roman"/>
                      <w:color w:val="auto"/>
                      <w:szCs w:val="21"/>
                      <w:lang w:val="en-US" w:eastAsia="zh-CN"/>
                    </w:rPr>
                    <w:t>21.9</w:t>
                  </w:r>
                </w:p>
              </w:tc>
              <w:tc>
                <w:tcPr>
                  <w:tcW w:w="55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2</w:t>
                  </w:r>
                </w:p>
              </w:tc>
              <w:tc>
                <w:tcPr>
                  <w:tcW w:w="27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51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73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0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862" w:type="dxa"/>
                  <w:vMerge w:val="continue"/>
                  <w:tcBorders>
                    <w:tl2br w:val="nil"/>
                    <w:tr2bl w:val="nil"/>
                  </w:tcBorders>
                  <w:vAlign w:val="center"/>
                </w:tcPr>
                <w:p>
                  <w:pPr>
                    <w:widowControl/>
                    <w:jc w:val="center"/>
                    <w:rPr>
                      <w:rFonts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9" w:type="dxa"/>
                  <w:vMerge w:val="continue"/>
                  <w:tcBorders>
                    <w:tl2br w:val="nil"/>
                    <w:tr2bl w:val="nil"/>
                  </w:tcBorders>
                  <w:vAlign w:val="center"/>
                </w:tcPr>
                <w:p>
                  <w:pPr>
                    <w:widowControl/>
                    <w:adjustRightInd w:val="0"/>
                    <w:snapToGrid w:val="0"/>
                    <w:ind w:left="-105" w:leftChars="-50" w:right="-105" w:rightChars="-50"/>
                    <w:jc w:val="center"/>
                    <w:rPr>
                      <w:rFonts w:ascii="Times New Roman" w:hAnsi="Times New Roman" w:cs="Times New Roman"/>
                      <w:color w:val="auto"/>
                      <w:spacing w:val="6"/>
                      <w:szCs w:val="21"/>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63" w:type="dxa"/>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r>
                    <w:rPr>
                      <w:rFonts w:ascii="Times New Roman" w:hAnsi="Times New Roman" w:cs="Times New Roman"/>
                      <w:color w:val="auto"/>
                      <w:szCs w:val="21"/>
                      <w:lang w:bidi="ar"/>
                    </w:rPr>
                    <w:t>TN</w:t>
                  </w:r>
                </w:p>
              </w:tc>
              <w:tc>
                <w:tcPr>
                  <w:tcW w:w="480"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szCs w:val="21"/>
                      <w:lang w:val="en-US" w:eastAsia="zh-CN" w:bidi="ar"/>
                    </w:rPr>
                  </w:pPr>
                  <w:r>
                    <w:rPr>
                      <w:rFonts w:hint="eastAsia" w:ascii="Times New Roman" w:hAnsi="Times New Roman" w:eastAsia="等线" w:cs="Times New Roman"/>
                      <w:color w:val="auto"/>
                      <w:szCs w:val="21"/>
                      <w:lang w:val="en-US" w:eastAsia="zh-CN"/>
                    </w:rPr>
                    <w:t>438</w:t>
                  </w:r>
                </w:p>
              </w:tc>
              <w:tc>
                <w:tcPr>
                  <w:tcW w:w="495"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eastAsiaTheme="minorEastAsia"/>
                      <w:bCs/>
                      <w:color w:val="auto"/>
                      <w:szCs w:val="21"/>
                      <w:lang w:val="en-US" w:eastAsia="zh-CN" w:bidi="ar"/>
                    </w:rPr>
                  </w:pPr>
                  <w:r>
                    <w:rPr>
                      <w:rFonts w:hint="eastAsia" w:ascii="Times New Roman" w:hAnsi="Times New Roman" w:cs="Times New Roman"/>
                      <w:bCs/>
                      <w:color w:val="auto"/>
                      <w:szCs w:val="21"/>
                      <w:lang w:val="en-US" w:eastAsia="zh-CN" w:bidi="ar"/>
                    </w:rPr>
                    <w:t>40</w:t>
                  </w:r>
                </w:p>
              </w:tc>
              <w:tc>
                <w:tcPr>
                  <w:tcW w:w="353"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847"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p>
              </w:tc>
              <w:tc>
                <w:tcPr>
                  <w:tcW w:w="25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6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705"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kern w:val="21"/>
                      <w:szCs w:val="21"/>
                      <w:lang w:val="en-US" w:eastAsia="zh-CN" w:bidi="ar"/>
                    </w:rPr>
                  </w:pPr>
                  <w:r>
                    <w:rPr>
                      <w:rFonts w:hint="eastAsia" w:ascii="Times New Roman" w:hAnsi="Times New Roman" w:eastAsia="等线" w:cs="Times New Roman"/>
                      <w:color w:val="auto"/>
                      <w:szCs w:val="21"/>
                      <w:lang w:val="en-US" w:eastAsia="zh-CN"/>
                    </w:rPr>
                    <w:t>164.25</w:t>
                  </w:r>
                </w:p>
              </w:tc>
              <w:tc>
                <w:tcPr>
                  <w:tcW w:w="55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15</w:t>
                  </w:r>
                </w:p>
              </w:tc>
              <w:tc>
                <w:tcPr>
                  <w:tcW w:w="27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51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73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0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862" w:type="dxa"/>
                  <w:vMerge w:val="continue"/>
                  <w:tcBorders>
                    <w:tl2br w:val="nil"/>
                    <w:tr2bl w:val="nil"/>
                  </w:tcBorders>
                  <w:vAlign w:val="center"/>
                </w:tcPr>
                <w:p>
                  <w:pPr>
                    <w:widowControl/>
                    <w:jc w:val="center"/>
                    <w:rPr>
                      <w:rFonts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9" w:type="dxa"/>
                  <w:vMerge w:val="continue"/>
                  <w:tcBorders>
                    <w:tl2br w:val="nil"/>
                    <w:tr2bl w:val="nil"/>
                  </w:tcBorders>
                  <w:vAlign w:val="center"/>
                </w:tcPr>
                <w:p>
                  <w:pPr>
                    <w:widowControl/>
                    <w:adjustRightInd w:val="0"/>
                    <w:snapToGrid w:val="0"/>
                    <w:ind w:left="-105" w:leftChars="-50" w:right="-105" w:rightChars="-50"/>
                    <w:jc w:val="center"/>
                    <w:rPr>
                      <w:rFonts w:ascii="Times New Roman" w:hAnsi="Times New Roman" w:cs="Times New Roman"/>
                      <w:color w:val="auto"/>
                      <w:spacing w:val="6"/>
                      <w:szCs w:val="21"/>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63" w:type="dxa"/>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r>
                    <w:rPr>
                      <w:rFonts w:ascii="Times New Roman" w:hAnsi="Times New Roman" w:cs="Times New Roman"/>
                      <w:color w:val="auto"/>
                      <w:szCs w:val="21"/>
                      <w:lang w:bidi="ar"/>
                    </w:rPr>
                    <w:t>TP</w:t>
                  </w:r>
                </w:p>
              </w:tc>
              <w:tc>
                <w:tcPr>
                  <w:tcW w:w="480"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szCs w:val="21"/>
                      <w:lang w:val="en-US" w:eastAsia="zh-CN" w:bidi="ar"/>
                    </w:rPr>
                  </w:pPr>
                  <w:r>
                    <w:rPr>
                      <w:rFonts w:hint="eastAsia" w:ascii="Times New Roman" w:hAnsi="Times New Roman" w:eastAsia="等线" w:cs="Times New Roman"/>
                      <w:color w:val="auto"/>
                      <w:szCs w:val="21"/>
                      <w:lang w:val="en-US" w:eastAsia="zh-CN"/>
                    </w:rPr>
                    <w:t>32.85</w:t>
                  </w:r>
                </w:p>
              </w:tc>
              <w:tc>
                <w:tcPr>
                  <w:tcW w:w="495" w:type="dxa"/>
                  <w:tcBorders>
                    <w:tl2br w:val="nil"/>
                    <w:tr2bl w:val="nil"/>
                  </w:tcBorders>
                  <w:vAlign w:val="center"/>
                </w:tcPr>
                <w:p>
                  <w:pPr>
                    <w:adjustRightInd w:val="0"/>
                    <w:snapToGrid w:val="0"/>
                    <w:ind w:left="-105" w:leftChars="-50" w:right="-105" w:rightChars="-50"/>
                    <w:jc w:val="center"/>
                    <w:rPr>
                      <w:rFonts w:hint="eastAsia" w:ascii="Times New Roman" w:hAnsi="Times New Roman" w:cs="Times New Roman" w:eastAsiaTheme="minorEastAsia"/>
                      <w:bCs/>
                      <w:color w:val="auto"/>
                      <w:szCs w:val="21"/>
                      <w:lang w:eastAsia="zh-CN" w:bidi="ar"/>
                    </w:rPr>
                  </w:pPr>
                  <w:r>
                    <w:rPr>
                      <w:rFonts w:hint="eastAsia" w:ascii="Times New Roman" w:hAnsi="Times New Roman" w:cs="Times New Roman"/>
                      <w:bCs/>
                      <w:color w:val="auto"/>
                      <w:szCs w:val="21"/>
                      <w:lang w:val="en-US" w:eastAsia="zh-CN" w:bidi="ar"/>
                    </w:rPr>
                    <w:t>3</w:t>
                  </w:r>
                </w:p>
              </w:tc>
              <w:tc>
                <w:tcPr>
                  <w:tcW w:w="353"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847"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p>
              </w:tc>
              <w:tc>
                <w:tcPr>
                  <w:tcW w:w="25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6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705"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kern w:val="21"/>
                      <w:szCs w:val="21"/>
                      <w:lang w:val="en-US" w:eastAsia="zh-CN" w:bidi="ar"/>
                    </w:rPr>
                  </w:pPr>
                  <w:r>
                    <w:rPr>
                      <w:rFonts w:hint="eastAsia" w:ascii="Times New Roman" w:hAnsi="Times New Roman" w:eastAsia="等线" w:cs="Times New Roman"/>
                      <w:color w:val="auto"/>
                      <w:szCs w:val="21"/>
                      <w:lang w:val="en-US" w:eastAsia="zh-CN"/>
                    </w:rPr>
                    <w:t>4.38</w:t>
                  </w:r>
                </w:p>
              </w:tc>
              <w:tc>
                <w:tcPr>
                  <w:tcW w:w="55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0.4</w:t>
                  </w:r>
                </w:p>
              </w:tc>
              <w:tc>
                <w:tcPr>
                  <w:tcW w:w="27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51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73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0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862" w:type="dxa"/>
                  <w:vMerge w:val="continue"/>
                  <w:tcBorders>
                    <w:tl2br w:val="nil"/>
                    <w:tr2bl w:val="nil"/>
                  </w:tcBorders>
                  <w:vAlign w:val="center"/>
                </w:tcPr>
                <w:p>
                  <w:pPr>
                    <w:widowControl/>
                    <w:jc w:val="center"/>
                    <w:rPr>
                      <w:rFonts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9" w:type="dxa"/>
                  <w:vMerge w:val="continue"/>
                  <w:tcBorders>
                    <w:tl2br w:val="nil"/>
                    <w:tr2bl w:val="nil"/>
                  </w:tcBorders>
                  <w:vAlign w:val="center"/>
                </w:tcPr>
                <w:p>
                  <w:pPr>
                    <w:widowControl/>
                    <w:adjustRightInd w:val="0"/>
                    <w:snapToGrid w:val="0"/>
                    <w:ind w:left="-105" w:leftChars="-50" w:right="-105" w:rightChars="-50"/>
                    <w:jc w:val="center"/>
                    <w:rPr>
                      <w:rFonts w:ascii="Times New Roman" w:hAnsi="Times New Roman" w:cs="Times New Roman"/>
                      <w:color w:val="auto"/>
                      <w:spacing w:val="6"/>
                      <w:szCs w:val="21"/>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63" w:type="dxa"/>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r>
                    <w:rPr>
                      <w:rFonts w:ascii="Times New Roman" w:hAnsi="Times New Roman" w:cs="Times New Roman"/>
                      <w:color w:val="auto"/>
                      <w:szCs w:val="21"/>
                      <w:lang w:bidi="ar"/>
                    </w:rPr>
                    <w:t>SS</w:t>
                  </w:r>
                </w:p>
              </w:tc>
              <w:tc>
                <w:tcPr>
                  <w:tcW w:w="480"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szCs w:val="21"/>
                      <w:lang w:val="en-US" w:eastAsia="zh-CN" w:bidi="ar"/>
                    </w:rPr>
                  </w:pPr>
                  <w:r>
                    <w:rPr>
                      <w:rFonts w:hint="eastAsia" w:ascii="Times New Roman" w:hAnsi="Times New Roman" w:eastAsia="等线" w:cs="Times New Roman"/>
                      <w:color w:val="auto"/>
                      <w:szCs w:val="21"/>
                      <w:lang w:val="en-US" w:eastAsia="zh-CN"/>
                    </w:rPr>
                    <w:t>2190</w:t>
                  </w:r>
                </w:p>
              </w:tc>
              <w:tc>
                <w:tcPr>
                  <w:tcW w:w="49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2</w:t>
                  </w:r>
                  <w:r>
                    <w:rPr>
                      <w:rFonts w:hint="eastAsia" w:ascii="Times New Roman" w:hAnsi="Times New Roman" w:cs="Times New Roman"/>
                      <w:bCs/>
                      <w:color w:val="auto"/>
                      <w:szCs w:val="21"/>
                      <w:lang w:val="en-US" w:eastAsia="zh-CN" w:bidi="ar"/>
                    </w:rPr>
                    <w:t>0</w:t>
                  </w:r>
                  <w:r>
                    <w:rPr>
                      <w:rFonts w:ascii="Times New Roman" w:hAnsi="Times New Roman" w:cs="Times New Roman"/>
                      <w:bCs/>
                      <w:color w:val="auto"/>
                      <w:szCs w:val="21"/>
                      <w:lang w:bidi="ar"/>
                    </w:rPr>
                    <w:t>0</w:t>
                  </w:r>
                </w:p>
              </w:tc>
              <w:tc>
                <w:tcPr>
                  <w:tcW w:w="353"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847"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color w:val="auto"/>
                      <w:szCs w:val="21"/>
                      <w:lang w:bidi="ar"/>
                    </w:rPr>
                  </w:pPr>
                </w:p>
              </w:tc>
              <w:tc>
                <w:tcPr>
                  <w:tcW w:w="25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6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705"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eastAsiaTheme="minorEastAsia"/>
                      <w:color w:val="auto"/>
                      <w:kern w:val="21"/>
                      <w:szCs w:val="21"/>
                      <w:lang w:val="en-US" w:eastAsia="zh-CN" w:bidi="ar"/>
                    </w:rPr>
                  </w:pPr>
                  <w:r>
                    <w:rPr>
                      <w:rFonts w:hint="eastAsia" w:ascii="Times New Roman" w:hAnsi="Times New Roman" w:eastAsia="等线" w:cs="Times New Roman"/>
                      <w:color w:val="auto"/>
                      <w:szCs w:val="21"/>
                      <w:lang w:val="en-US" w:eastAsia="zh-CN"/>
                    </w:rPr>
                    <w:t>109.5</w:t>
                  </w:r>
                </w:p>
              </w:tc>
              <w:tc>
                <w:tcPr>
                  <w:tcW w:w="555" w:type="dxa"/>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r>
                    <w:rPr>
                      <w:rFonts w:ascii="Times New Roman" w:hAnsi="Times New Roman" w:cs="Times New Roman"/>
                      <w:bCs/>
                      <w:color w:val="auto"/>
                      <w:szCs w:val="21"/>
                      <w:lang w:bidi="ar"/>
                    </w:rPr>
                    <w:t>10</w:t>
                  </w:r>
                </w:p>
              </w:tc>
              <w:tc>
                <w:tcPr>
                  <w:tcW w:w="27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51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73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405"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240" w:type="dxa"/>
                  <w:vMerge w:val="continue"/>
                  <w:tcBorders>
                    <w:tl2br w:val="nil"/>
                    <w:tr2bl w:val="nil"/>
                  </w:tcBorders>
                  <w:vAlign w:val="center"/>
                </w:tcPr>
                <w:p>
                  <w:pPr>
                    <w:adjustRightInd w:val="0"/>
                    <w:snapToGrid w:val="0"/>
                    <w:ind w:left="-105" w:leftChars="-50" w:right="-105" w:rightChars="-50"/>
                    <w:jc w:val="center"/>
                    <w:rPr>
                      <w:rFonts w:ascii="Times New Roman" w:hAnsi="Times New Roman" w:cs="Times New Roman"/>
                      <w:bCs/>
                      <w:color w:val="auto"/>
                      <w:szCs w:val="21"/>
                      <w:lang w:bidi="ar"/>
                    </w:rPr>
                  </w:pPr>
                </w:p>
              </w:tc>
              <w:tc>
                <w:tcPr>
                  <w:tcW w:w="862" w:type="dxa"/>
                  <w:vMerge w:val="continue"/>
                  <w:tcBorders>
                    <w:tl2br w:val="nil"/>
                    <w:tr2bl w:val="nil"/>
                  </w:tcBorders>
                  <w:vAlign w:val="center"/>
                </w:tcPr>
                <w:p>
                  <w:pPr>
                    <w:widowControl/>
                    <w:jc w:val="center"/>
                    <w:rPr>
                      <w:rFonts w:ascii="Times New Roman" w:hAnsi="Times New Roman" w:cs="Times New Roman"/>
                      <w:color w:val="auto"/>
                      <w:szCs w:val="21"/>
                    </w:rPr>
                  </w:pPr>
                </w:p>
              </w:tc>
            </w:tr>
          </w:tbl>
          <w:p>
            <w:pPr>
              <w:pStyle w:val="19"/>
              <w:adjustRightInd/>
              <w:spacing w:after="0" w:line="480" w:lineRule="exact"/>
              <w:ind w:firstLine="480" w:firstLineChars="200"/>
              <w:rPr>
                <w:rFonts w:ascii="宋体" w:hAnsi="宋体" w:cs="宋体"/>
                <w:bCs/>
                <w:color w:val="auto"/>
                <w:sz w:val="24"/>
                <w:szCs w:val="24"/>
              </w:rPr>
            </w:pPr>
            <w:r>
              <w:rPr>
                <w:rFonts w:hint="eastAsia" w:ascii="宋体" w:hAnsi="宋体" w:cs="宋体"/>
                <w:bCs/>
                <w:color w:val="auto"/>
                <w:sz w:val="24"/>
                <w:szCs w:val="24"/>
              </w:rPr>
              <w:t>（2）监测计划</w:t>
            </w:r>
          </w:p>
          <w:p>
            <w:pPr>
              <w:pStyle w:val="19"/>
              <w:spacing w:after="0" w:line="480" w:lineRule="exact"/>
              <w:ind w:firstLine="480" w:firstLineChars="200"/>
              <w:rPr>
                <w:rFonts w:ascii="黑体" w:hAnsi="黑体" w:eastAsia="黑体" w:cs="宋体"/>
                <w:bCs/>
                <w:color w:val="auto"/>
                <w:szCs w:val="21"/>
              </w:rPr>
            </w:pPr>
            <w:r>
              <w:rPr>
                <w:color w:val="auto"/>
                <w:sz w:val="24"/>
                <w:szCs w:val="24"/>
              </w:rPr>
              <w:t>根据《排污许可证申请与核发技术规范</w:t>
            </w:r>
            <w:r>
              <w:rPr>
                <w:rFonts w:hint="eastAsia"/>
                <w:color w:val="auto"/>
                <w:sz w:val="24"/>
                <w:szCs w:val="24"/>
              </w:rPr>
              <w:t xml:space="preserve"> </w:t>
            </w:r>
            <w:r>
              <w:rPr>
                <w:color w:val="auto"/>
                <w:sz w:val="24"/>
                <w:szCs w:val="24"/>
              </w:rPr>
              <w:t>水处理（试行）》( HJ978-2018</w:t>
            </w:r>
            <w:r>
              <w:rPr>
                <w:rFonts w:hint="eastAsia"/>
                <w:color w:val="auto"/>
                <w:sz w:val="24"/>
                <w:szCs w:val="24"/>
                <w:lang w:eastAsia="zh-CN"/>
              </w:rPr>
              <w:t>)</w:t>
            </w:r>
            <w:r>
              <w:rPr>
                <w:color w:val="auto"/>
                <w:sz w:val="24"/>
                <w:szCs w:val="24"/>
              </w:rPr>
              <w:t>、《排污单位自行监测技术指南 水处理》( HJ1083-2020</w:t>
            </w:r>
            <w:r>
              <w:rPr>
                <w:rFonts w:hint="eastAsia"/>
                <w:color w:val="auto"/>
                <w:sz w:val="24"/>
                <w:szCs w:val="24"/>
                <w:lang w:eastAsia="zh-CN"/>
              </w:rPr>
              <w:t>)</w:t>
            </w:r>
            <w:r>
              <w:rPr>
                <w:color w:val="auto"/>
                <w:sz w:val="24"/>
                <w:szCs w:val="24"/>
              </w:rPr>
              <w:t>，确定项目运</w:t>
            </w:r>
            <w:r>
              <w:rPr>
                <w:rFonts w:hint="eastAsia"/>
                <w:color w:val="auto"/>
                <w:sz w:val="24"/>
                <w:szCs w:val="24"/>
              </w:rPr>
              <w:t>行</w:t>
            </w:r>
            <w:r>
              <w:rPr>
                <w:color w:val="auto"/>
                <w:sz w:val="24"/>
                <w:szCs w:val="24"/>
              </w:rPr>
              <w:t>期环境监测计划</w:t>
            </w:r>
            <w:r>
              <w:rPr>
                <w:rFonts w:hint="eastAsia"/>
                <w:color w:val="auto"/>
                <w:sz w:val="24"/>
                <w:szCs w:val="24"/>
              </w:rPr>
              <w:t>，</w:t>
            </w:r>
            <w:r>
              <w:rPr>
                <w:rFonts w:hint="eastAsia" w:ascii="宋体" w:hAnsi="宋体"/>
                <w:color w:val="auto"/>
                <w:sz w:val="24"/>
                <w:szCs w:val="24"/>
              </w:rPr>
              <w:t>如表4-</w:t>
            </w:r>
            <w:r>
              <w:rPr>
                <w:rFonts w:hint="eastAsia" w:ascii="宋体" w:hAnsi="宋体"/>
                <w:color w:val="auto"/>
                <w:sz w:val="24"/>
                <w:szCs w:val="24"/>
                <w:lang w:val="en-US" w:eastAsia="zh-CN"/>
              </w:rPr>
              <w:t>9</w:t>
            </w:r>
            <w:r>
              <w:rPr>
                <w:rFonts w:hint="eastAsia" w:ascii="宋体" w:hAnsi="宋体"/>
                <w:color w:val="auto"/>
                <w:sz w:val="24"/>
                <w:szCs w:val="24"/>
              </w:rPr>
              <w:t>所示。</w:t>
            </w:r>
          </w:p>
          <w:p>
            <w:pPr>
              <w:pStyle w:val="22"/>
              <w:snapToGrid w:val="0"/>
              <w:spacing w:line="240" w:lineRule="auto"/>
              <w:jc w:val="center"/>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表4-</w:t>
            </w: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lang w:val="zh-CN"/>
              </w:rPr>
              <w:t xml:space="preserve">  监测计划一览表</w:t>
            </w:r>
          </w:p>
          <w:tbl>
            <w:tblPr>
              <w:tblStyle w:val="24"/>
              <w:tblW w:w="859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061"/>
              <w:gridCol w:w="2419"/>
              <w:gridCol w:w="1279"/>
              <w:gridCol w:w="31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710" w:type="dxa"/>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要素</w:t>
                  </w:r>
                </w:p>
              </w:tc>
              <w:tc>
                <w:tcPr>
                  <w:tcW w:w="1061" w:type="dxa"/>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监测地点</w:t>
                  </w:r>
                </w:p>
              </w:tc>
              <w:tc>
                <w:tcPr>
                  <w:tcW w:w="241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监测指标</w:t>
                  </w:r>
                </w:p>
              </w:tc>
              <w:tc>
                <w:tcPr>
                  <w:tcW w:w="127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监测频次</w:t>
                  </w:r>
                </w:p>
              </w:tc>
              <w:tc>
                <w:tcPr>
                  <w:tcW w:w="3124"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710" w:type="dxa"/>
                  <w:vMerge w:val="restart"/>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受纳</w:t>
                  </w:r>
                </w:p>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061" w:type="dxa"/>
                  <w:vMerge w:val="restart"/>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进水总管</w:t>
                  </w:r>
                </w:p>
              </w:tc>
              <w:tc>
                <w:tcPr>
                  <w:tcW w:w="241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流量、COD</w:t>
                  </w:r>
                  <w:r>
                    <w:rPr>
                      <w:rFonts w:hint="eastAsia" w:cs="Times New Roman"/>
                      <w:color w:val="auto"/>
                      <w:szCs w:val="21"/>
                      <w:vertAlign w:val="subscript"/>
                      <w:lang w:val="en-US" w:eastAsia="zh-CN"/>
                    </w:rPr>
                    <w:t>Cr</w:t>
                  </w: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27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自动监测</w:t>
                  </w:r>
                </w:p>
              </w:tc>
              <w:tc>
                <w:tcPr>
                  <w:tcW w:w="3124" w:type="dxa"/>
                  <w:vMerge w:val="restart"/>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进水总管自动监测数据须与地方生态环境主管部门污染源自动监控系统平台联网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710" w:type="dxa"/>
                  <w:vMerge w:val="continue"/>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p>
              </w:tc>
              <w:tc>
                <w:tcPr>
                  <w:tcW w:w="1061" w:type="dxa"/>
                  <w:vMerge w:val="continue"/>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p>
              </w:tc>
              <w:tc>
                <w:tcPr>
                  <w:tcW w:w="241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TP、TN</w:t>
                  </w:r>
                </w:p>
              </w:tc>
              <w:tc>
                <w:tcPr>
                  <w:tcW w:w="127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每日</w:t>
                  </w:r>
                </w:p>
              </w:tc>
              <w:tc>
                <w:tcPr>
                  <w:tcW w:w="3124" w:type="dxa"/>
                  <w:vMerge w:val="continue"/>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710" w:type="dxa"/>
                  <w:vMerge w:val="restart"/>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外排</w:t>
                  </w:r>
                </w:p>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061" w:type="dxa"/>
                  <w:vMerge w:val="restart"/>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排放口DW001</w:t>
                  </w:r>
                </w:p>
              </w:tc>
              <w:tc>
                <w:tcPr>
                  <w:tcW w:w="241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水温、流量、pH值、 COD</w:t>
                  </w:r>
                  <w:r>
                    <w:rPr>
                      <w:rFonts w:hint="eastAsia" w:cs="Times New Roman"/>
                      <w:color w:val="auto"/>
                      <w:szCs w:val="21"/>
                      <w:vertAlign w:val="subscript"/>
                      <w:lang w:val="en-US" w:eastAsia="zh-CN"/>
                    </w:rPr>
                    <w:t>Cr</w:t>
                  </w: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-N、TP、TN</w:t>
                  </w:r>
                </w:p>
              </w:tc>
              <w:tc>
                <w:tcPr>
                  <w:tcW w:w="127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自动监测</w:t>
                  </w:r>
                </w:p>
              </w:tc>
              <w:tc>
                <w:tcPr>
                  <w:tcW w:w="3124"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总氮自动监测技术规范发布实施前，按日监测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710" w:type="dxa"/>
                  <w:vMerge w:val="continue"/>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p>
              </w:tc>
              <w:tc>
                <w:tcPr>
                  <w:tcW w:w="1061" w:type="dxa"/>
                  <w:vMerge w:val="continue"/>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p>
              </w:tc>
              <w:tc>
                <w:tcPr>
                  <w:tcW w:w="241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SS、色度、BOD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、动植物油、石油类、LAS、粪大肠菌群</w:t>
                  </w:r>
                </w:p>
              </w:tc>
              <w:tc>
                <w:tcPr>
                  <w:tcW w:w="1279" w:type="dxa"/>
                  <w:tcBorders>
                    <w:tl2br w:val="nil"/>
                    <w:tr2bl w:val="nil"/>
                  </w:tcBorders>
                  <w:vAlign w:val="center"/>
                </w:tcPr>
                <w:p>
                  <w:pPr>
                    <w:pStyle w:val="19"/>
                    <w:adjustRightInd/>
                    <w:spacing w:after="0"/>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月</w:t>
                  </w:r>
                </w:p>
              </w:tc>
              <w:tc>
                <w:tcPr>
                  <w:tcW w:w="3124"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710" w:type="dxa"/>
                  <w:vMerge w:val="continue"/>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p>
              </w:tc>
              <w:tc>
                <w:tcPr>
                  <w:tcW w:w="1061" w:type="dxa"/>
                  <w:vMerge w:val="continue"/>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p>
              </w:tc>
              <w:tc>
                <w:tcPr>
                  <w:tcW w:w="241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总镉、总铬、总汞、总铅、总砷、六价铬</w:t>
                  </w:r>
                </w:p>
              </w:tc>
              <w:tc>
                <w:tcPr>
                  <w:tcW w:w="1279" w:type="dxa"/>
                  <w:tcBorders>
                    <w:tl2br w:val="nil"/>
                    <w:tr2bl w:val="nil"/>
                  </w:tcBorders>
                  <w:vAlign w:val="center"/>
                </w:tcPr>
                <w:p>
                  <w:pPr>
                    <w:pStyle w:val="19"/>
                    <w:adjustRightInd/>
                    <w:spacing w:after="0"/>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季度</w:t>
                  </w:r>
                </w:p>
              </w:tc>
              <w:tc>
                <w:tcPr>
                  <w:tcW w:w="3124"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710" w:type="dxa"/>
                  <w:vMerge w:val="continue"/>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p>
              </w:tc>
              <w:tc>
                <w:tcPr>
                  <w:tcW w:w="1061" w:type="dxa"/>
                  <w:vMerge w:val="continue"/>
                  <w:tcBorders>
                    <w:tl2br w:val="nil"/>
                    <w:tr2bl w:val="nil"/>
                  </w:tcBorders>
                  <w:vAlign w:val="center"/>
                </w:tcPr>
                <w:p>
                  <w:pPr>
                    <w:pStyle w:val="19"/>
                    <w:adjustRightInd/>
                    <w:spacing w:after="0"/>
                    <w:ind w:left="-105" w:leftChars="-50" w:right="-105" w:rightChars="-50" w:firstLine="0" w:firstLineChars="0"/>
                    <w:jc w:val="center"/>
                    <w:rPr>
                      <w:rFonts w:hint="default" w:ascii="Times New Roman" w:hAnsi="Times New Roman" w:cs="Times New Roman"/>
                      <w:color w:val="auto"/>
                      <w:szCs w:val="21"/>
                    </w:rPr>
                  </w:pPr>
                </w:p>
              </w:tc>
              <w:tc>
                <w:tcPr>
                  <w:tcW w:w="241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烷基汞</w:t>
                  </w:r>
                </w:p>
              </w:tc>
              <w:tc>
                <w:tcPr>
                  <w:tcW w:w="1279"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半年</w:t>
                  </w:r>
                </w:p>
              </w:tc>
              <w:tc>
                <w:tcPr>
                  <w:tcW w:w="3124" w:type="dxa"/>
                  <w:tcBorders>
                    <w:tl2br w:val="nil"/>
                    <w:tr2bl w:val="nil"/>
                  </w:tcBorders>
                  <w:vAlign w:val="center"/>
                </w:tcPr>
                <w:p>
                  <w:pPr>
                    <w:pStyle w:val="19"/>
                    <w:adjustRightInd/>
                    <w:spacing w:after="0"/>
                    <w:ind w:firstLine="0" w:firstLineChars="0"/>
                    <w:jc w:val="center"/>
                    <w:rPr>
                      <w:rFonts w:hint="default" w:ascii="Times New Roman" w:hAnsi="Times New Roman" w:cs="Times New Roman"/>
                      <w:color w:val="auto"/>
                      <w:szCs w:val="21"/>
                    </w:rPr>
                  </w:pPr>
                </w:p>
              </w:tc>
            </w:tr>
          </w:tbl>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4.7噪声</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4.7.1噪声源强及影响分析</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噪声源强及降噪措施见表4-</w:t>
            </w:r>
            <w:r>
              <w:rPr>
                <w:rFonts w:hint="eastAsia" w:ascii="Times New Roman" w:hAnsi="Times New Roman" w:eastAsia="宋体" w:cs="Times New Roman"/>
                <w:color w:val="auto"/>
                <w:kern w:val="0"/>
                <w:sz w:val="24"/>
                <w:szCs w:val="24"/>
                <w:lang w:val="en-US" w:eastAsia="zh-CN"/>
              </w:rPr>
              <w:t>10</w:t>
            </w:r>
            <w:r>
              <w:rPr>
                <w:rFonts w:ascii="Times New Roman" w:hAnsi="Times New Roman" w:eastAsia="宋体" w:cs="Times New Roman"/>
                <w:color w:val="auto"/>
                <w:kern w:val="0"/>
                <w:sz w:val="24"/>
                <w:szCs w:val="24"/>
              </w:rPr>
              <w:t>。</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表4-</w:t>
            </w:r>
            <w:r>
              <w:rPr>
                <w:rFonts w:hint="eastAsia" w:ascii="Times New Roman" w:hAnsi="Times New Roman" w:eastAsia="宋体"/>
                <w:color w:val="auto"/>
                <w:sz w:val="24"/>
                <w:szCs w:val="24"/>
                <w:lang w:val="en-US" w:eastAsia="zh-CN"/>
              </w:rPr>
              <w:t>10</w:t>
            </w:r>
            <w:r>
              <w:rPr>
                <w:rFonts w:ascii="Times New Roman" w:hAnsi="Times New Roman" w:eastAsia="宋体"/>
                <w:color w:val="auto"/>
                <w:sz w:val="24"/>
                <w:szCs w:val="24"/>
              </w:rPr>
              <w:t xml:space="preserve">  建设项目噪声污染源源强核算结果及相关参数一览表dB(A)</w:t>
            </w:r>
          </w:p>
          <w:tbl>
            <w:tblPr>
              <w:tblStyle w:val="25"/>
              <w:tblW w:w="859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845"/>
              <w:gridCol w:w="736"/>
              <w:gridCol w:w="1472"/>
              <w:gridCol w:w="2089"/>
              <w:gridCol w:w="1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
                      <w:bCs/>
                      <w:color w:val="auto"/>
                      <w:kern w:val="0"/>
                      <w:szCs w:val="21"/>
                    </w:rPr>
                  </w:pPr>
                  <w:r>
                    <w:rPr>
                      <w:rFonts w:ascii="Times New Roman" w:hAnsi="Times New Roman" w:eastAsia="宋体" w:cs="Times New Roman"/>
                      <w:b/>
                      <w:bCs/>
                      <w:color w:val="auto"/>
                      <w:szCs w:val="21"/>
                    </w:rPr>
                    <w:t>序号</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
                      <w:bCs/>
                      <w:color w:val="auto"/>
                      <w:kern w:val="0"/>
                      <w:szCs w:val="21"/>
                    </w:rPr>
                  </w:pPr>
                  <w:r>
                    <w:rPr>
                      <w:rFonts w:ascii="Times New Roman" w:hAnsi="Times New Roman" w:eastAsia="宋体" w:cs="Times New Roman"/>
                      <w:b/>
                      <w:bCs/>
                      <w:color w:val="auto"/>
                      <w:szCs w:val="21"/>
                    </w:rPr>
                    <w:t>设备名称</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
                      <w:bCs/>
                      <w:color w:val="auto"/>
                      <w:kern w:val="0"/>
                      <w:szCs w:val="21"/>
                    </w:rPr>
                  </w:pPr>
                  <w:r>
                    <w:rPr>
                      <w:rFonts w:ascii="Times New Roman" w:hAnsi="Times New Roman" w:eastAsia="宋体" w:cs="Times New Roman"/>
                      <w:b/>
                      <w:bCs/>
                      <w:color w:val="auto"/>
                      <w:szCs w:val="21"/>
                    </w:rPr>
                    <w:t>数量</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
                      <w:bCs/>
                      <w:color w:val="auto"/>
                      <w:kern w:val="0"/>
                      <w:szCs w:val="21"/>
                    </w:rPr>
                  </w:pPr>
                  <w:r>
                    <w:rPr>
                      <w:rFonts w:ascii="Times New Roman" w:hAnsi="Times New Roman" w:eastAsia="宋体" w:cs="Times New Roman"/>
                      <w:b/>
                      <w:bCs/>
                      <w:color w:val="auto"/>
                      <w:szCs w:val="21"/>
                    </w:rPr>
                    <w:t>噪声源强/dB(A)</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降噪后噪声源强/dB(A)</w:t>
                  </w:r>
                </w:p>
              </w:tc>
              <w:tc>
                <w:tcPr>
                  <w:tcW w:w="1861" w:type="dxa"/>
                  <w:tcBorders>
                    <w:tl2br w:val="nil"/>
                    <w:tr2bl w:val="nil"/>
                  </w:tcBorders>
                  <w:vAlign w:val="center"/>
                </w:tcPr>
                <w:p>
                  <w:pPr>
                    <w:pStyle w:val="41"/>
                    <w:keepNext w:val="0"/>
                    <w:keepLines w:val="0"/>
                    <w:pageBreakBefore w:val="0"/>
                    <w:widowControl w:val="0"/>
                    <w:kinsoku/>
                    <w:wordWrap/>
                    <w:overflowPunct/>
                    <w:topLinePunct w:val="0"/>
                    <w:bidi w:val="0"/>
                    <w:adjustRightInd w:val="0"/>
                    <w:spacing w:line="240" w:lineRule="auto"/>
                    <w:ind w:left="0" w:leftChars="0" w:right="0" w:rightChars="0" w:firstLine="0" w:firstLineChars="0"/>
                    <w:jc w:val="center"/>
                    <w:textAlignment w:val="auto"/>
                    <w:rPr>
                      <w:rFonts w:eastAsia="宋体"/>
                      <w:b/>
                      <w:bCs/>
                      <w:color w:val="auto"/>
                      <w:sz w:val="21"/>
                      <w:szCs w:val="21"/>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潜污泵</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6</w:t>
                  </w:r>
                  <w:r>
                    <w:rPr>
                      <w:rFonts w:ascii="Times New Roman" w:hAnsi="Times New Roman" w:eastAsia="宋体" w:cs="Times New Roman"/>
                      <w:color w:val="auto"/>
                      <w:kern w:val="0"/>
                      <w:szCs w:val="21"/>
                    </w:rPr>
                    <w:t>台</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78~80</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53~55</w:t>
                  </w:r>
                </w:p>
              </w:tc>
              <w:tc>
                <w:tcPr>
                  <w:tcW w:w="1861"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设置隔音棉、实体墙等有效降噪措施，选</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择低噪声设备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en-US" w:eastAsia="zh-CN"/>
                    </w:rPr>
                    <w:t>栅渣压榨机</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2套</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85~87</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55~57</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en-US" w:eastAsia="zh-CN"/>
                    </w:rPr>
                    <w:t>格栅冲洗泵</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rPr>
                    <w:t>2</w:t>
                  </w:r>
                  <w:r>
                    <w:rPr>
                      <w:rFonts w:hint="eastAsia" w:ascii="Times New Roman" w:hAnsi="Times New Roman" w:eastAsia="宋体" w:cs="Times New Roman"/>
                      <w:color w:val="auto"/>
                      <w:kern w:val="0"/>
                      <w:szCs w:val="21"/>
                      <w:lang w:val="en-US" w:eastAsia="zh-CN"/>
                    </w:rPr>
                    <w:t>台</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78~80</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53~55</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en-US" w:eastAsia="zh-CN"/>
                    </w:rPr>
                    <w:t>无堵塞离心泵</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w:t>
                  </w:r>
                  <w:r>
                    <w:rPr>
                      <w:rFonts w:hint="eastAsia" w:ascii="Times New Roman" w:hAnsi="Times New Roman" w:eastAsia="宋体" w:cs="Times New Roman"/>
                      <w:color w:val="auto"/>
                      <w:kern w:val="0"/>
                      <w:szCs w:val="21"/>
                      <w:lang w:val="en-US" w:eastAsia="zh-CN"/>
                    </w:rPr>
                    <w:t>台</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78~80</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cs="Times New Roman"/>
                      <w:color w:val="auto"/>
                    </w:rPr>
                    <w:t>53~55</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5</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en-US" w:eastAsia="zh-CN"/>
                    </w:rPr>
                    <w:t>立式涡轮搅拌器</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14</w:t>
                  </w:r>
                  <w:r>
                    <w:rPr>
                      <w:rFonts w:ascii="Times New Roman" w:hAnsi="Times New Roman" w:eastAsia="宋体" w:cs="Times New Roman"/>
                      <w:color w:val="auto"/>
                      <w:kern w:val="0"/>
                      <w:szCs w:val="21"/>
                    </w:rPr>
                    <w:t>套</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cs="Times New Roman"/>
                      <w:color w:val="auto"/>
                    </w:rPr>
                    <w:t>78~80</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cs="Times New Roman"/>
                      <w:color w:val="auto"/>
                    </w:rPr>
                    <w:t>53~55</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6</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en-US" w:eastAsia="zh-CN"/>
                    </w:rPr>
                    <w:t>内回流泵</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5</w:t>
                  </w:r>
                  <w:r>
                    <w:rPr>
                      <w:rFonts w:ascii="Times New Roman" w:hAnsi="Times New Roman" w:eastAsia="宋体" w:cs="Times New Roman"/>
                      <w:color w:val="auto"/>
                      <w:kern w:val="0"/>
                      <w:szCs w:val="21"/>
                    </w:rPr>
                    <w:t>套</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78~80</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cs="Times New Roman"/>
                      <w:color w:val="auto"/>
                    </w:rPr>
                    <w:t>53~55</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7</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en-US" w:eastAsia="zh-CN"/>
                    </w:rPr>
                    <w:t>回流污泥泵</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3</w:t>
                  </w:r>
                  <w:r>
                    <w:rPr>
                      <w:rFonts w:ascii="Times New Roman" w:hAnsi="Times New Roman" w:eastAsia="宋体" w:cs="Times New Roman"/>
                      <w:color w:val="auto"/>
                      <w:kern w:val="0"/>
                      <w:szCs w:val="21"/>
                    </w:rPr>
                    <w:t>台</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78~80</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50~52</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8</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en-US" w:eastAsia="zh-CN"/>
                    </w:rPr>
                    <w:t>剩余污泥泵</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2台</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78~80</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50~52</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9</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lang w:val="en-US" w:eastAsia="zh-CN"/>
                    </w:rPr>
                    <w:t>转子泵</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3</w:t>
                  </w:r>
                  <w:r>
                    <w:rPr>
                      <w:rFonts w:ascii="Times New Roman" w:hAnsi="Times New Roman" w:eastAsia="宋体" w:cs="Times New Roman"/>
                      <w:color w:val="auto"/>
                      <w:kern w:val="0"/>
                      <w:szCs w:val="21"/>
                    </w:rPr>
                    <w:t>台</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85~87</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55~57</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10</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lang w:val="en-US" w:eastAsia="zh-CN"/>
                    </w:rPr>
                    <w:t>反冲洗水泵</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3</w:t>
                  </w:r>
                  <w:r>
                    <w:rPr>
                      <w:rFonts w:ascii="Times New Roman" w:hAnsi="Times New Roman" w:eastAsia="宋体" w:cs="Times New Roman"/>
                      <w:color w:val="auto"/>
                      <w:kern w:val="0"/>
                      <w:szCs w:val="21"/>
                    </w:rPr>
                    <w:t>套</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63~65</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cs="Times New Roman"/>
                      <w:color w:val="auto"/>
                    </w:rPr>
                    <w:t>53~55</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rPr>
                    <w:t>1</w:t>
                  </w:r>
                  <w:r>
                    <w:rPr>
                      <w:rFonts w:hint="eastAsia" w:ascii="Times New Roman" w:hAnsi="Times New Roman" w:eastAsia="宋体" w:cs="Times New Roman"/>
                      <w:color w:val="auto"/>
                      <w:kern w:val="0"/>
                      <w:szCs w:val="21"/>
                      <w:lang w:val="en-US" w:eastAsia="zh-CN"/>
                    </w:rPr>
                    <w:t>1</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lang w:val="en-US" w:eastAsia="zh-CN"/>
                    </w:rPr>
                    <w:t>反冲罗茨风机</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3</w:t>
                  </w:r>
                  <w:r>
                    <w:rPr>
                      <w:rFonts w:ascii="Times New Roman" w:hAnsi="Times New Roman" w:eastAsia="宋体" w:cs="Times New Roman"/>
                      <w:color w:val="auto"/>
                      <w:kern w:val="0"/>
                      <w:szCs w:val="21"/>
                    </w:rPr>
                    <w:t>套</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85~87</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55~57</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rPr>
                    <w:t>1</w:t>
                  </w:r>
                  <w:r>
                    <w:rPr>
                      <w:rFonts w:hint="eastAsia" w:ascii="Times New Roman" w:hAnsi="Times New Roman" w:eastAsia="宋体" w:cs="Times New Roman"/>
                      <w:color w:val="auto"/>
                      <w:kern w:val="0"/>
                      <w:szCs w:val="21"/>
                      <w:lang w:val="en-US" w:eastAsia="zh-CN"/>
                    </w:rPr>
                    <w:t>2</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lang w:val="en-US" w:eastAsia="zh-CN"/>
                    </w:rPr>
                    <w:t>空气悬浮风机</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6</w:t>
                  </w:r>
                  <w:r>
                    <w:rPr>
                      <w:rFonts w:ascii="Times New Roman" w:hAnsi="Times New Roman" w:eastAsia="宋体" w:cs="Times New Roman"/>
                      <w:color w:val="auto"/>
                      <w:kern w:val="0"/>
                      <w:szCs w:val="21"/>
                    </w:rPr>
                    <w:t>套</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85~87</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55~57</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13</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lang w:val="en-US" w:eastAsia="zh-CN"/>
                    </w:rPr>
                    <w:t>螺旋输送机</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2台</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63~65</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50~52</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14</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水平螺旋输送机</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w:t>
                  </w:r>
                  <w:r>
                    <w:rPr>
                      <w:rFonts w:ascii="Times New Roman" w:hAnsi="Times New Roman" w:eastAsia="宋体" w:cs="Times New Roman"/>
                      <w:color w:val="auto"/>
                      <w:kern w:val="0"/>
                      <w:szCs w:val="21"/>
                    </w:rPr>
                    <w:t>台</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63~65</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50~52</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低压进泥泵</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2台</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78~80</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cs="Times New Roman"/>
                      <w:color w:val="auto"/>
                    </w:rPr>
                    <w:t>53~55</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高压进泥泵</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2</w:t>
                  </w:r>
                  <w:r>
                    <w:rPr>
                      <w:rFonts w:ascii="Times New Roman" w:hAnsi="Times New Roman" w:eastAsia="宋体" w:cs="Times New Roman"/>
                      <w:color w:val="auto"/>
                      <w:kern w:val="0"/>
                      <w:szCs w:val="21"/>
                    </w:rPr>
                    <w:t>台</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78~80</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cs="Times New Roman"/>
                      <w:color w:val="auto"/>
                    </w:rPr>
                    <w:t>53~55</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0"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17</w:t>
                  </w:r>
                </w:p>
              </w:tc>
              <w:tc>
                <w:tcPr>
                  <w:tcW w:w="184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lang w:val="en-US" w:eastAsia="zh-CN"/>
                    </w:rPr>
                    <w:t>加压泵</w:t>
                  </w:r>
                </w:p>
              </w:tc>
              <w:tc>
                <w:tcPr>
                  <w:tcW w:w="73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2台</w:t>
                  </w:r>
                </w:p>
              </w:tc>
              <w:tc>
                <w:tcPr>
                  <w:tcW w:w="147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szCs w:val="21"/>
                    </w:rPr>
                    <w:t>78~80</w:t>
                  </w:r>
                </w:p>
              </w:tc>
              <w:tc>
                <w:tcPr>
                  <w:tcW w:w="208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cs="Times New Roman"/>
                      <w:color w:val="auto"/>
                    </w:rPr>
                    <w:t>53~55</w:t>
                  </w:r>
                </w:p>
              </w:tc>
              <w:tc>
                <w:tcPr>
                  <w:tcW w:w="1861" w:type="dxa"/>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r>
          </w:tbl>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4.7.2达标分析</w:t>
            </w:r>
          </w:p>
          <w:p>
            <w:pPr>
              <w:pStyle w:val="52"/>
              <w:spacing w:line="360" w:lineRule="auto"/>
              <w:ind w:firstLine="480"/>
              <w:jc w:val="both"/>
              <w:rPr>
                <w:rFonts w:ascii="Times New Roman" w:hAnsi="Times New Roman"/>
                <w:color w:val="auto"/>
                <w:sz w:val="24"/>
                <w:szCs w:val="24"/>
              </w:rPr>
            </w:pPr>
            <w:r>
              <w:rPr>
                <w:rFonts w:ascii="Times New Roman" w:hAnsi="Times New Roman"/>
                <w:color w:val="auto"/>
                <w:sz w:val="24"/>
                <w:szCs w:val="24"/>
              </w:rPr>
              <w:t>本次评价选择点声源预测模式，具体预测模式如下：</w:t>
            </w:r>
          </w:p>
          <w:p>
            <w:pPr>
              <w:pStyle w:val="52"/>
              <w:spacing w:line="360" w:lineRule="auto"/>
              <w:ind w:firstLine="480"/>
              <w:jc w:val="left"/>
              <w:rPr>
                <w:rFonts w:ascii="Times New Roman" w:hAnsi="Times New Roman"/>
                <w:color w:val="auto"/>
                <w:sz w:val="24"/>
                <w:szCs w:val="24"/>
              </w:rPr>
            </w:pPr>
            <w:r>
              <w:rPr>
                <w:rFonts w:hint="eastAsia" w:ascii="宋体" w:hAnsi="宋体" w:cs="宋体"/>
                <w:color w:val="auto"/>
                <w:sz w:val="24"/>
                <w:szCs w:val="24"/>
              </w:rPr>
              <w:t>⑴</w:t>
            </w:r>
            <w:r>
              <w:rPr>
                <w:rFonts w:ascii="Times New Roman" w:hAnsi="Times New Roman"/>
                <w:color w:val="auto"/>
                <w:sz w:val="24"/>
                <w:szCs w:val="24"/>
              </w:rPr>
              <w:t>点声源噪声距离衰减模式：</w:t>
            </w:r>
          </w:p>
          <w:p>
            <w:pPr>
              <w:pStyle w:val="52"/>
              <w:spacing w:line="360" w:lineRule="auto"/>
              <w:ind w:firstLine="480"/>
              <w:rPr>
                <w:rFonts w:ascii="Times New Roman" w:hAnsi="Times New Roman"/>
                <w:color w:val="auto"/>
                <w:sz w:val="24"/>
                <w:szCs w:val="24"/>
              </w:rPr>
            </w:pPr>
            <w:r>
              <w:rPr>
                <w:rFonts w:ascii="Times New Roman" w:hAnsi="Times New Roman"/>
                <w:color w:val="auto"/>
                <w:sz w:val="24"/>
                <w:szCs w:val="24"/>
              </w:rPr>
              <w:t>Lr＝Lr</w:t>
            </w:r>
            <w:r>
              <w:rPr>
                <w:rFonts w:ascii="Times New Roman" w:hAnsi="Times New Roman"/>
                <w:color w:val="auto"/>
                <w:sz w:val="24"/>
                <w:szCs w:val="24"/>
                <w:vertAlign w:val="subscript"/>
              </w:rPr>
              <w:t>0</w:t>
            </w:r>
            <w:r>
              <w:rPr>
                <w:rFonts w:ascii="Times New Roman" w:hAnsi="Times New Roman"/>
                <w:color w:val="auto"/>
                <w:sz w:val="24"/>
                <w:szCs w:val="24"/>
              </w:rPr>
              <w:t>–20lg(r/r</w:t>
            </w:r>
            <w:r>
              <w:rPr>
                <w:rFonts w:ascii="Times New Roman" w:hAnsi="Times New Roman"/>
                <w:color w:val="auto"/>
                <w:sz w:val="24"/>
                <w:szCs w:val="24"/>
                <w:vertAlign w:val="subscript"/>
              </w:rPr>
              <w:t>0</w:t>
            </w:r>
            <w:r>
              <w:rPr>
                <w:rFonts w:ascii="Times New Roman" w:hAnsi="Times New Roman"/>
                <w:color w:val="auto"/>
                <w:sz w:val="24"/>
                <w:szCs w:val="24"/>
              </w:rPr>
              <w:t>)-R</w:t>
            </w:r>
          </w:p>
          <w:p>
            <w:pPr>
              <w:pStyle w:val="52"/>
              <w:spacing w:line="360" w:lineRule="auto"/>
              <w:ind w:firstLine="480"/>
              <w:jc w:val="both"/>
              <w:rPr>
                <w:rFonts w:ascii="Times New Roman" w:hAnsi="Times New Roman"/>
                <w:color w:val="auto"/>
                <w:sz w:val="24"/>
                <w:szCs w:val="24"/>
              </w:rPr>
            </w:pPr>
            <w:r>
              <w:rPr>
                <w:rFonts w:ascii="Times New Roman" w:hAnsi="Times New Roman"/>
                <w:color w:val="auto"/>
                <w:sz w:val="24"/>
                <w:szCs w:val="24"/>
              </w:rPr>
              <w:t>式中：Lr—受声点</w:t>
            </w:r>
            <w:r>
              <w:rPr>
                <w:rFonts w:hint="eastAsia" w:ascii="Times New Roman" w:hAnsi="Times New Roman"/>
                <w:color w:val="auto"/>
                <w:sz w:val="24"/>
                <w:szCs w:val="24"/>
                <w:lang w:eastAsia="zh-CN"/>
              </w:rPr>
              <w:t>（</w:t>
            </w:r>
            <w:r>
              <w:rPr>
                <w:rFonts w:ascii="Times New Roman" w:hAnsi="Times New Roman"/>
                <w:color w:val="auto"/>
                <w:sz w:val="24"/>
                <w:szCs w:val="24"/>
              </w:rPr>
              <w:t>即被影响点</w:t>
            </w:r>
            <w:r>
              <w:rPr>
                <w:rFonts w:hint="eastAsia" w:ascii="Times New Roman" w:hAnsi="Times New Roman"/>
                <w:color w:val="auto"/>
                <w:sz w:val="24"/>
                <w:szCs w:val="24"/>
                <w:lang w:eastAsia="zh-CN"/>
              </w:rPr>
              <w:t>）</w:t>
            </w:r>
            <w:r>
              <w:rPr>
                <w:rFonts w:ascii="Times New Roman" w:hAnsi="Times New Roman"/>
                <w:color w:val="auto"/>
                <w:sz w:val="24"/>
                <w:szCs w:val="24"/>
              </w:rPr>
              <w:t>所接受的声压级，dB(A)；</w:t>
            </w:r>
          </w:p>
          <w:p>
            <w:pPr>
              <w:pStyle w:val="52"/>
              <w:spacing w:line="360" w:lineRule="auto"/>
              <w:ind w:firstLine="1200" w:firstLineChars="500"/>
              <w:jc w:val="both"/>
              <w:rPr>
                <w:rFonts w:ascii="Times New Roman" w:hAnsi="Times New Roman"/>
                <w:color w:val="auto"/>
                <w:sz w:val="24"/>
                <w:szCs w:val="24"/>
              </w:rPr>
            </w:pPr>
            <w:r>
              <w:rPr>
                <w:rFonts w:ascii="Times New Roman" w:hAnsi="Times New Roman"/>
                <w:color w:val="auto"/>
                <w:sz w:val="24"/>
                <w:szCs w:val="24"/>
              </w:rPr>
              <w:t>Lr</w:t>
            </w:r>
            <w:r>
              <w:rPr>
                <w:rFonts w:ascii="Times New Roman" w:hAnsi="Times New Roman"/>
                <w:color w:val="auto"/>
                <w:sz w:val="24"/>
                <w:szCs w:val="24"/>
                <w:vertAlign w:val="subscript"/>
              </w:rPr>
              <w:t>0</w:t>
            </w:r>
            <w:r>
              <w:rPr>
                <w:rFonts w:ascii="Times New Roman" w:hAnsi="Times New Roman"/>
                <w:color w:val="auto"/>
                <w:sz w:val="24"/>
                <w:szCs w:val="24"/>
              </w:rPr>
              <w:t>—距噪声源r</w:t>
            </w:r>
            <w:r>
              <w:rPr>
                <w:rFonts w:ascii="Times New Roman" w:hAnsi="Times New Roman"/>
                <w:color w:val="auto"/>
                <w:sz w:val="24"/>
                <w:szCs w:val="24"/>
                <w:vertAlign w:val="subscript"/>
              </w:rPr>
              <w:t>0</w:t>
            </w:r>
            <w:r>
              <w:rPr>
                <w:rFonts w:ascii="Times New Roman" w:hAnsi="Times New Roman"/>
                <w:color w:val="auto"/>
                <w:sz w:val="24"/>
                <w:szCs w:val="24"/>
              </w:rPr>
              <w:t>处的声压级，dB(A)；</w:t>
            </w:r>
          </w:p>
          <w:p>
            <w:pPr>
              <w:pStyle w:val="52"/>
              <w:spacing w:line="360" w:lineRule="auto"/>
              <w:ind w:firstLine="1200" w:firstLineChars="500"/>
              <w:jc w:val="both"/>
              <w:rPr>
                <w:rFonts w:ascii="Times New Roman" w:hAnsi="Times New Roman"/>
                <w:color w:val="auto"/>
                <w:sz w:val="24"/>
                <w:szCs w:val="24"/>
              </w:rPr>
            </w:pPr>
            <w:r>
              <w:rPr>
                <w:rFonts w:ascii="Times New Roman" w:hAnsi="Times New Roman"/>
                <w:color w:val="auto"/>
                <w:sz w:val="24"/>
                <w:szCs w:val="24"/>
              </w:rPr>
              <w:t>r—噪声源至受声点的距离，m；</w:t>
            </w:r>
          </w:p>
          <w:p>
            <w:pPr>
              <w:pStyle w:val="52"/>
              <w:spacing w:line="360" w:lineRule="auto"/>
              <w:ind w:firstLine="1200" w:firstLineChars="500"/>
              <w:jc w:val="both"/>
              <w:rPr>
                <w:rFonts w:ascii="Times New Roman" w:hAnsi="Times New Roman"/>
                <w:color w:val="auto"/>
                <w:sz w:val="24"/>
                <w:szCs w:val="24"/>
              </w:rPr>
            </w:pPr>
            <w:r>
              <w:rPr>
                <w:rFonts w:ascii="Times New Roman" w:hAnsi="Times New Roman"/>
                <w:color w:val="auto"/>
                <w:sz w:val="24"/>
                <w:szCs w:val="24"/>
              </w:rPr>
              <w:t>r</w:t>
            </w:r>
            <w:r>
              <w:rPr>
                <w:rFonts w:ascii="Times New Roman" w:hAnsi="Times New Roman"/>
                <w:color w:val="auto"/>
                <w:sz w:val="24"/>
                <w:szCs w:val="24"/>
                <w:vertAlign w:val="subscript"/>
              </w:rPr>
              <w:t>0</w:t>
            </w:r>
            <w:r>
              <w:rPr>
                <w:rFonts w:ascii="Times New Roman" w:hAnsi="Times New Roman"/>
                <w:color w:val="auto"/>
                <w:sz w:val="24"/>
                <w:szCs w:val="24"/>
              </w:rPr>
              <w:t>—参考位置的距离，m，取r</w:t>
            </w:r>
            <w:r>
              <w:rPr>
                <w:rFonts w:ascii="Times New Roman" w:hAnsi="Times New Roman"/>
                <w:color w:val="auto"/>
                <w:sz w:val="24"/>
                <w:szCs w:val="24"/>
                <w:vertAlign w:val="subscript"/>
              </w:rPr>
              <w:t>0</w:t>
            </w:r>
            <w:r>
              <w:rPr>
                <w:rFonts w:ascii="Times New Roman" w:hAnsi="Times New Roman"/>
                <w:color w:val="auto"/>
                <w:sz w:val="24"/>
                <w:szCs w:val="24"/>
              </w:rPr>
              <w:t>=1m；</w:t>
            </w:r>
          </w:p>
          <w:p>
            <w:pPr>
              <w:pStyle w:val="52"/>
              <w:spacing w:line="360" w:lineRule="auto"/>
              <w:ind w:firstLine="1200" w:firstLineChars="500"/>
              <w:jc w:val="both"/>
              <w:rPr>
                <w:rFonts w:ascii="Times New Roman" w:hAnsi="Times New Roman"/>
                <w:color w:val="auto"/>
                <w:sz w:val="24"/>
                <w:szCs w:val="24"/>
              </w:rPr>
            </w:pPr>
            <w:r>
              <w:rPr>
                <w:rFonts w:ascii="Times New Roman" w:hAnsi="Times New Roman"/>
                <w:color w:val="auto"/>
                <w:sz w:val="24"/>
                <w:szCs w:val="24"/>
              </w:rPr>
              <w:t>R—墙体噪声隔声量，dB(A)，车间墙体隔声为20dB(A)。</w:t>
            </w:r>
          </w:p>
          <w:p>
            <w:pPr>
              <w:pStyle w:val="52"/>
              <w:spacing w:line="360" w:lineRule="auto"/>
              <w:ind w:firstLine="480"/>
              <w:jc w:val="left"/>
              <w:rPr>
                <w:rFonts w:ascii="Times New Roman" w:hAnsi="Times New Roman"/>
                <w:color w:val="auto"/>
                <w:sz w:val="24"/>
                <w:szCs w:val="24"/>
              </w:rPr>
            </w:pPr>
            <w:r>
              <w:rPr>
                <w:rFonts w:hint="eastAsia" w:ascii="宋体" w:hAnsi="宋体" w:cs="宋体"/>
                <w:color w:val="auto"/>
                <w:sz w:val="24"/>
                <w:szCs w:val="24"/>
              </w:rPr>
              <w:t>⑵</w:t>
            </w:r>
            <w:r>
              <w:rPr>
                <w:rFonts w:ascii="Times New Roman" w:hAnsi="Times New Roman"/>
                <w:color w:val="auto"/>
                <w:sz w:val="24"/>
                <w:szCs w:val="24"/>
              </w:rPr>
              <w:t>噪声叠加模式：</w:t>
            </w:r>
          </w:p>
          <w:p>
            <w:pPr>
              <w:spacing w:line="360" w:lineRule="auto"/>
              <w:ind w:firstLine="42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object>
                <v:shape id="_x0000_i1026" o:spt="75" type="#_x0000_t75" style="height:39.25pt;width:102.8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p>
          <w:p>
            <w:pPr>
              <w:pStyle w:val="52"/>
              <w:spacing w:line="360" w:lineRule="auto"/>
              <w:ind w:firstLine="480"/>
              <w:jc w:val="both"/>
              <w:rPr>
                <w:rFonts w:hint="eastAsia" w:ascii="Times New Roman" w:hAnsi="Times New Roman" w:eastAsia="宋体"/>
                <w:color w:val="auto"/>
                <w:sz w:val="24"/>
                <w:szCs w:val="24"/>
                <w:lang w:eastAsia="zh-CN"/>
              </w:rPr>
            </w:pPr>
            <w:r>
              <w:rPr>
                <w:rFonts w:ascii="Times New Roman" w:hAnsi="Times New Roman"/>
                <w:color w:val="auto"/>
                <w:sz w:val="24"/>
                <w:szCs w:val="24"/>
              </w:rPr>
              <w:t>式中：L——总声压强度</w:t>
            </w:r>
            <w:r>
              <w:rPr>
                <w:rFonts w:hint="eastAsia" w:ascii="Times New Roman" w:hAnsi="Times New Roman"/>
                <w:color w:val="auto"/>
                <w:sz w:val="24"/>
                <w:szCs w:val="24"/>
                <w:lang w:eastAsia="zh-CN"/>
              </w:rPr>
              <w:t>；</w:t>
            </w:r>
          </w:p>
          <w:p>
            <w:pPr>
              <w:pStyle w:val="52"/>
              <w:spacing w:line="360" w:lineRule="auto"/>
              <w:ind w:firstLine="1200" w:firstLineChars="500"/>
              <w:jc w:val="both"/>
              <w:rPr>
                <w:rFonts w:ascii="Times New Roman" w:hAnsi="Times New Roman"/>
                <w:color w:val="auto"/>
                <w:sz w:val="24"/>
                <w:szCs w:val="24"/>
              </w:rPr>
            </w:pPr>
            <w:r>
              <w:rPr>
                <w:rFonts w:ascii="Times New Roman" w:hAnsi="Times New Roman"/>
                <w:color w:val="auto"/>
                <w:sz w:val="24"/>
                <w:szCs w:val="24"/>
              </w:rPr>
              <w:t>Li——第i个参与合成的声压级强度[dB(A)]。</w:t>
            </w:r>
          </w:p>
          <w:p>
            <w:pPr>
              <w:pStyle w:val="52"/>
              <w:spacing w:line="360" w:lineRule="auto"/>
              <w:ind w:firstLine="480"/>
              <w:jc w:val="both"/>
              <w:rPr>
                <w:rFonts w:ascii="Times New Roman" w:hAnsi="Times New Roman"/>
                <w:color w:val="auto"/>
                <w:sz w:val="24"/>
                <w:szCs w:val="24"/>
              </w:rPr>
            </w:pPr>
            <w:r>
              <w:rPr>
                <w:rFonts w:ascii="Times New Roman" w:hAnsi="Times New Roman"/>
                <w:color w:val="auto"/>
                <w:sz w:val="24"/>
                <w:szCs w:val="24"/>
              </w:rPr>
              <w:t>本次环评根据本项目噪声源源强分析结果具体见表4-</w:t>
            </w:r>
            <w:r>
              <w:rPr>
                <w:rFonts w:hint="eastAsia" w:ascii="Times New Roman" w:hAnsi="Times New Roman"/>
                <w:color w:val="auto"/>
                <w:sz w:val="24"/>
                <w:szCs w:val="24"/>
                <w:lang w:val="en-US" w:eastAsia="zh-CN"/>
              </w:rPr>
              <w:t>11</w:t>
            </w:r>
            <w:r>
              <w:rPr>
                <w:rFonts w:ascii="Times New Roman" w:hAnsi="Times New Roman"/>
                <w:color w:val="auto"/>
                <w:sz w:val="24"/>
                <w:szCs w:val="24"/>
              </w:rPr>
              <w:t>。</w:t>
            </w:r>
          </w:p>
          <w:p>
            <w:pPr>
              <w:pStyle w:val="35"/>
              <w:spacing w:line="240" w:lineRule="auto"/>
              <w:rPr>
                <w:rFonts w:ascii="Times New Roman" w:hAnsi="Times New Roman"/>
                <w:color w:val="auto"/>
                <w:sz w:val="24"/>
                <w:szCs w:val="24"/>
              </w:rPr>
            </w:pPr>
            <w:r>
              <w:rPr>
                <w:rFonts w:ascii="Times New Roman" w:hAnsi="Times New Roman" w:eastAsia="宋体"/>
                <w:color w:val="auto"/>
                <w:sz w:val="24"/>
                <w:szCs w:val="24"/>
              </w:rPr>
              <w:t>表</w:t>
            </w:r>
            <w:r>
              <w:rPr>
                <w:rFonts w:ascii="Times New Roman" w:hAnsi="Times New Roman"/>
                <w:color w:val="auto"/>
                <w:sz w:val="24"/>
                <w:szCs w:val="24"/>
              </w:rPr>
              <w:t>4-</w:t>
            </w:r>
            <w:r>
              <w:rPr>
                <w:rFonts w:hint="eastAsia" w:ascii="Times New Roman" w:hAnsi="Times New Roman" w:eastAsia="宋体"/>
                <w:color w:val="auto"/>
                <w:sz w:val="24"/>
                <w:szCs w:val="24"/>
                <w:lang w:val="en-US" w:eastAsia="zh-CN"/>
              </w:rPr>
              <w:t>11</w:t>
            </w:r>
            <w:r>
              <w:rPr>
                <w:rFonts w:ascii="Times New Roman" w:hAnsi="Times New Roman"/>
                <w:color w:val="auto"/>
                <w:sz w:val="24"/>
                <w:szCs w:val="24"/>
              </w:rPr>
              <w:t xml:space="preserve">  </w:t>
            </w:r>
            <w:r>
              <w:rPr>
                <w:rFonts w:ascii="Times New Roman" w:hAnsi="Times New Roman" w:eastAsia="宋体"/>
                <w:color w:val="auto"/>
                <w:sz w:val="24"/>
                <w:szCs w:val="24"/>
              </w:rPr>
              <w:t>项目厂界和环境保护目标噪声排放达标情况</w:t>
            </w:r>
          </w:p>
          <w:tbl>
            <w:tblPr>
              <w:tblStyle w:val="24"/>
              <w:tblW w:w="85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462"/>
              <w:gridCol w:w="1100"/>
              <w:gridCol w:w="988"/>
              <w:gridCol w:w="1854"/>
              <w:gridCol w:w="1313"/>
              <w:gridCol w:w="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97" w:type="dxa"/>
                  <w:vMerge w:val="restart"/>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预测点</w:t>
                  </w:r>
                </w:p>
              </w:tc>
              <w:tc>
                <w:tcPr>
                  <w:tcW w:w="3550" w:type="dxa"/>
                  <w:gridSpan w:val="3"/>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昼间</w:t>
                  </w:r>
                </w:p>
              </w:tc>
              <w:tc>
                <w:tcPr>
                  <w:tcW w:w="4143" w:type="dxa"/>
                  <w:gridSpan w:val="3"/>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97" w:type="dxa"/>
                  <w:vMerge w:val="continue"/>
                  <w:tcBorders>
                    <w:tl2br w:val="nil"/>
                    <w:tr2bl w:val="nil"/>
                  </w:tcBorders>
                  <w:vAlign w:val="center"/>
                </w:tcPr>
                <w:p>
                  <w:pPr>
                    <w:jc w:val="center"/>
                    <w:rPr>
                      <w:rFonts w:ascii="Times New Roman" w:hAnsi="Times New Roman" w:eastAsia="宋体" w:cs="Times New Roman"/>
                      <w:b/>
                      <w:bCs/>
                      <w:color w:val="auto"/>
                      <w:szCs w:val="21"/>
                    </w:rPr>
                  </w:pPr>
                </w:p>
              </w:tc>
              <w:tc>
                <w:tcPr>
                  <w:tcW w:w="1462" w:type="dxa"/>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贡献值dB(A)</w:t>
                  </w:r>
                </w:p>
              </w:tc>
              <w:tc>
                <w:tcPr>
                  <w:tcW w:w="1100" w:type="dxa"/>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标准值dB(A)</w:t>
                  </w:r>
                </w:p>
              </w:tc>
              <w:tc>
                <w:tcPr>
                  <w:tcW w:w="988" w:type="dxa"/>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达标情况</w:t>
                  </w:r>
                </w:p>
              </w:tc>
              <w:tc>
                <w:tcPr>
                  <w:tcW w:w="1854" w:type="dxa"/>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贡献值dB(A)</w:t>
                  </w:r>
                </w:p>
              </w:tc>
              <w:tc>
                <w:tcPr>
                  <w:tcW w:w="1313" w:type="dxa"/>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标准值dB(A)</w:t>
                  </w:r>
                </w:p>
              </w:tc>
              <w:tc>
                <w:tcPr>
                  <w:tcW w:w="976" w:type="dxa"/>
                  <w:tcBorders>
                    <w:tl2br w:val="nil"/>
                    <w:tr2bl w:val="nil"/>
                  </w:tcBorders>
                  <w:vAlign w:val="center"/>
                </w:tcPr>
                <w:p>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97"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东厂界</w:t>
                  </w:r>
                </w:p>
              </w:tc>
              <w:tc>
                <w:tcPr>
                  <w:tcW w:w="1462"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24.5</w:t>
                  </w:r>
                </w:p>
              </w:tc>
              <w:tc>
                <w:tcPr>
                  <w:tcW w:w="1100" w:type="dxa"/>
                  <w:vMerge w:val="restart"/>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60</w:t>
                  </w:r>
                </w:p>
              </w:tc>
              <w:tc>
                <w:tcPr>
                  <w:tcW w:w="988"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c>
                <w:tcPr>
                  <w:tcW w:w="1854"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24.5</w:t>
                  </w:r>
                </w:p>
              </w:tc>
              <w:tc>
                <w:tcPr>
                  <w:tcW w:w="1313" w:type="dxa"/>
                  <w:vMerge w:val="restart"/>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50</w:t>
                  </w:r>
                </w:p>
              </w:tc>
              <w:tc>
                <w:tcPr>
                  <w:tcW w:w="976"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97"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北厂界</w:t>
                  </w:r>
                </w:p>
              </w:tc>
              <w:tc>
                <w:tcPr>
                  <w:tcW w:w="1462"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25.3</w:t>
                  </w:r>
                </w:p>
              </w:tc>
              <w:tc>
                <w:tcPr>
                  <w:tcW w:w="1100" w:type="dxa"/>
                  <w:vMerge w:val="continue"/>
                  <w:tcBorders>
                    <w:tl2br w:val="nil"/>
                    <w:tr2bl w:val="nil"/>
                  </w:tcBorders>
                  <w:vAlign w:val="center"/>
                </w:tcPr>
                <w:p>
                  <w:pPr>
                    <w:jc w:val="center"/>
                    <w:rPr>
                      <w:rFonts w:ascii="Times New Roman" w:hAnsi="Times New Roman" w:eastAsia="宋体" w:cs="Times New Roman"/>
                      <w:color w:val="auto"/>
                      <w:szCs w:val="21"/>
                    </w:rPr>
                  </w:pPr>
                </w:p>
              </w:tc>
              <w:tc>
                <w:tcPr>
                  <w:tcW w:w="988"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c>
                <w:tcPr>
                  <w:tcW w:w="1854"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25.3</w:t>
                  </w:r>
                </w:p>
              </w:tc>
              <w:tc>
                <w:tcPr>
                  <w:tcW w:w="1313" w:type="dxa"/>
                  <w:vMerge w:val="continue"/>
                  <w:tcBorders>
                    <w:tl2br w:val="nil"/>
                    <w:tr2bl w:val="nil"/>
                  </w:tcBorders>
                  <w:vAlign w:val="center"/>
                </w:tcPr>
                <w:p>
                  <w:pPr>
                    <w:jc w:val="center"/>
                    <w:rPr>
                      <w:rFonts w:ascii="Times New Roman" w:hAnsi="Times New Roman" w:eastAsia="宋体" w:cs="Times New Roman"/>
                      <w:color w:val="auto"/>
                      <w:szCs w:val="21"/>
                    </w:rPr>
                  </w:pPr>
                </w:p>
              </w:tc>
              <w:tc>
                <w:tcPr>
                  <w:tcW w:w="976"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8" w:hRule="atLeast"/>
                <w:jc w:val="center"/>
              </w:trPr>
              <w:tc>
                <w:tcPr>
                  <w:tcW w:w="897"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西厂界</w:t>
                  </w:r>
                </w:p>
              </w:tc>
              <w:tc>
                <w:tcPr>
                  <w:tcW w:w="1462"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25.0</w:t>
                  </w:r>
                </w:p>
              </w:tc>
              <w:tc>
                <w:tcPr>
                  <w:tcW w:w="1100" w:type="dxa"/>
                  <w:vMerge w:val="continue"/>
                  <w:tcBorders>
                    <w:tl2br w:val="nil"/>
                    <w:tr2bl w:val="nil"/>
                  </w:tcBorders>
                  <w:vAlign w:val="center"/>
                </w:tcPr>
                <w:p>
                  <w:pPr>
                    <w:jc w:val="center"/>
                    <w:rPr>
                      <w:rFonts w:ascii="Times New Roman" w:hAnsi="Times New Roman" w:eastAsia="宋体" w:cs="Times New Roman"/>
                      <w:color w:val="auto"/>
                      <w:szCs w:val="21"/>
                    </w:rPr>
                  </w:pPr>
                </w:p>
              </w:tc>
              <w:tc>
                <w:tcPr>
                  <w:tcW w:w="988"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c>
                <w:tcPr>
                  <w:tcW w:w="1854"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25.0</w:t>
                  </w:r>
                </w:p>
              </w:tc>
              <w:tc>
                <w:tcPr>
                  <w:tcW w:w="1313" w:type="dxa"/>
                  <w:vMerge w:val="continue"/>
                  <w:tcBorders>
                    <w:tl2br w:val="nil"/>
                    <w:tr2bl w:val="nil"/>
                  </w:tcBorders>
                  <w:vAlign w:val="center"/>
                </w:tcPr>
                <w:p>
                  <w:pPr>
                    <w:jc w:val="center"/>
                    <w:rPr>
                      <w:rFonts w:ascii="Times New Roman" w:hAnsi="Times New Roman" w:eastAsia="宋体" w:cs="Times New Roman"/>
                      <w:color w:val="auto"/>
                      <w:szCs w:val="21"/>
                    </w:rPr>
                  </w:pPr>
                </w:p>
              </w:tc>
              <w:tc>
                <w:tcPr>
                  <w:tcW w:w="976"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97"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南厂界</w:t>
                  </w:r>
                </w:p>
              </w:tc>
              <w:tc>
                <w:tcPr>
                  <w:tcW w:w="1462"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24.7</w:t>
                  </w:r>
                </w:p>
              </w:tc>
              <w:tc>
                <w:tcPr>
                  <w:tcW w:w="1100" w:type="dxa"/>
                  <w:vMerge w:val="continue"/>
                  <w:tcBorders>
                    <w:tl2br w:val="nil"/>
                    <w:tr2bl w:val="nil"/>
                  </w:tcBorders>
                  <w:vAlign w:val="center"/>
                </w:tcPr>
                <w:p>
                  <w:pPr>
                    <w:jc w:val="center"/>
                    <w:rPr>
                      <w:rFonts w:ascii="Times New Roman" w:hAnsi="Times New Roman" w:eastAsia="宋体" w:cs="Times New Roman"/>
                      <w:color w:val="auto"/>
                      <w:szCs w:val="21"/>
                    </w:rPr>
                  </w:pPr>
                </w:p>
              </w:tc>
              <w:tc>
                <w:tcPr>
                  <w:tcW w:w="988"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c>
                <w:tcPr>
                  <w:tcW w:w="1854"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cs="Times New Roman"/>
                      <w:color w:val="auto"/>
                      <w:szCs w:val="21"/>
                    </w:rPr>
                    <w:t>24.7</w:t>
                  </w:r>
                </w:p>
              </w:tc>
              <w:tc>
                <w:tcPr>
                  <w:tcW w:w="1313" w:type="dxa"/>
                  <w:vMerge w:val="continue"/>
                  <w:tcBorders>
                    <w:tl2br w:val="nil"/>
                    <w:tr2bl w:val="nil"/>
                  </w:tcBorders>
                  <w:vAlign w:val="center"/>
                </w:tcPr>
                <w:p>
                  <w:pPr>
                    <w:jc w:val="center"/>
                    <w:rPr>
                      <w:rFonts w:ascii="Times New Roman" w:hAnsi="Times New Roman" w:eastAsia="宋体" w:cs="Times New Roman"/>
                      <w:color w:val="auto"/>
                      <w:szCs w:val="21"/>
                    </w:rPr>
                  </w:pPr>
                </w:p>
              </w:tc>
              <w:tc>
                <w:tcPr>
                  <w:tcW w:w="976"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达标</w:t>
                  </w:r>
                </w:p>
              </w:tc>
            </w:tr>
          </w:tbl>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由表 4-7 可知，本项目在实施隔声减振、选择低噪声设备等措施后，厂界昼夜噪声的贡献值能满足《工业企业厂界环境噪声排放标准》(GB12348-2008) 中的2类标准，做到达标排放。本项目通过选择低噪声设备，对设备进行隔声减振，严格加强设备管理和维护，合理布置噪声源，减轻了噪声对周边环境的影响。</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4.7.3噪声监测要求</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根据《排污单位自行监测技术指南总则》，本项目噪声监测计划见表4-</w:t>
            </w:r>
            <w:r>
              <w:rPr>
                <w:rFonts w:hint="eastAsia" w:ascii="Times New Roman" w:hAnsi="Times New Roman" w:eastAsia="宋体" w:cs="Times New Roman"/>
                <w:color w:val="auto"/>
                <w:kern w:val="0"/>
                <w:sz w:val="24"/>
                <w:szCs w:val="24"/>
                <w:lang w:val="en-US" w:eastAsia="zh-CN"/>
              </w:rPr>
              <w:t>12</w:t>
            </w:r>
            <w:r>
              <w:rPr>
                <w:rFonts w:ascii="Times New Roman" w:hAnsi="Times New Roman" w:eastAsia="宋体" w:cs="Times New Roman"/>
                <w:color w:val="auto"/>
                <w:kern w:val="0"/>
                <w:sz w:val="24"/>
                <w:szCs w:val="24"/>
              </w:rPr>
              <w:t>。</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 4-</w:t>
            </w:r>
            <w:r>
              <w:rPr>
                <w:rFonts w:hint="eastAsia" w:ascii="Times New Roman" w:hAnsi="Times New Roman" w:eastAsia="宋体"/>
                <w:color w:val="auto"/>
                <w:sz w:val="24"/>
                <w:szCs w:val="24"/>
                <w:lang w:val="en-US" w:eastAsia="zh-CN"/>
              </w:rPr>
              <w:t>12</w:t>
            </w:r>
            <w:r>
              <w:rPr>
                <w:rFonts w:ascii="Times New Roman" w:hAnsi="Times New Roman" w:eastAsia="宋体"/>
                <w:color w:val="auto"/>
                <w:sz w:val="24"/>
                <w:szCs w:val="24"/>
              </w:rPr>
              <w:tab/>
            </w:r>
            <w:r>
              <w:rPr>
                <w:rFonts w:ascii="Times New Roman" w:hAnsi="Times New Roman" w:eastAsia="宋体"/>
                <w:color w:val="auto"/>
                <w:sz w:val="24"/>
                <w:szCs w:val="24"/>
              </w:rPr>
              <w:t>项目环境监测计划</w:t>
            </w:r>
          </w:p>
          <w:tbl>
            <w:tblPr>
              <w:tblStyle w:val="25"/>
              <w:tblW w:w="859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681"/>
              <w:gridCol w:w="1566"/>
              <w:gridCol w:w="1743"/>
              <w:gridCol w:w="26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rPr>
                    <w:t>序号</w:t>
                  </w:r>
                </w:p>
              </w:tc>
              <w:tc>
                <w:tcPr>
                  <w:tcW w:w="16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rPr>
                    <w:t>类别</w:t>
                  </w:r>
                </w:p>
              </w:tc>
              <w:tc>
                <w:tcPr>
                  <w:tcW w:w="15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rPr>
                    <w:t>监测指标</w:t>
                  </w:r>
                </w:p>
              </w:tc>
              <w:tc>
                <w:tcPr>
                  <w:tcW w:w="1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rPr>
                    <w:t>监测频次</w:t>
                  </w:r>
                </w:p>
              </w:tc>
              <w:tc>
                <w:tcPr>
                  <w:tcW w:w="2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4"/>
                      <w:szCs w:val="24"/>
                    </w:rPr>
                  </w:pPr>
                  <w:r>
                    <w:rPr>
                      <w:rFonts w:ascii="Times New Roman" w:hAnsi="Times New Roman" w:eastAsia="宋体" w:cs="Times New Roman"/>
                      <w:color w:val="auto"/>
                      <w:w w:val="99"/>
                    </w:rPr>
                    <w:t>1</w:t>
                  </w:r>
                </w:p>
              </w:tc>
              <w:tc>
                <w:tcPr>
                  <w:tcW w:w="16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4"/>
                      <w:szCs w:val="24"/>
                    </w:rPr>
                  </w:pPr>
                  <w:r>
                    <w:rPr>
                      <w:rFonts w:ascii="Times New Roman" w:hAnsi="Times New Roman" w:eastAsia="宋体" w:cs="Times New Roman"/>
                      <w:color w:val="auto"/>
                    </w:rPr>
                    <w:t>厂界</w:t>
                  </w:r>
                  <w:r>
                    <w:rPr>
                      <w:rFonts w:hint="eastAsia" w:ascii="Times New Roman" w:hAnsi="Times New Roman" w:eastAsia="宋体" w:cs="Times New Roman"/>
                      <w:color w:val="auto"/>
                    </w:rPr>
                    <w:t>四周</w:t>
                  </w:r>
                </w:p>
              </w:tc>
              <w:tc>
                <w:tcPr>
                  <w:tcW w:w="15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4"/>
                      <w:szCs w:val="24"/>
                    </w:rPr>
                  </w:pPr>
                  <w:r>
                    <w:rPr>
                      <w:rFonts w:ascii="Times New Roman" w:hAnsi="Times New Roman" w:eastAsia="宋体" w:cs="Times New Roman"/>
                      <w:color w:val="auto"/>
                    </w:rPr>
                    <w:t>等效连续 A 声级</w:t>
                  </w:r>
                </w:p>
              </w:tc>
              <w:tc>
                <w:tcPr>
                  <w:tcW w:w="17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4"/>
                      <w:szCs w:val="24"/>
                    </w:rPr>
                  </w:pPr>
                  <w:r>
                    <w:rPr>
                      <w:rFonts w:ascii="Times New Roman" w:hAnsi="Times New Roman" w:eastAsia="宋体" w:cs="Times New Roman"/>
                      <w:color w:val="auto"/>
                    </w:rPr>
                    <w:t>1 次/季度</w:t>
                  </w:r>
                  <w:r>
                    <w:rPr>
                      <w:rFonts w:hint="eastAsia" w:ascii="Times New Roman" w:hAnsi="Times New Roman" w:eastAsia="宋体" w:cs="Times New Roman"/>
                      <w:color w:val="auto"/>
                    </w:rPr>
                    <w:t>（昼间、夜间）</w:t>
                  </w:r>
                  <w:r>
                    <w:rPr>
                      <w:rFonts w:ascii="Times New Roman" w:hAnsi="Times New Roman" w:eastAsia="宋体" w:cs="Times New Roman"/>
                      <w:color w:val="auto"/>
                      <w:kern w:val="0"/>
                      <w:sz w:val="24"/>
                      <w:szCs w:val="24"/>
                    </w:rPr>
                    <w:t xml:space="preserve"> </w:t>
                  </w:r>
                </w:p>
              </w:tc>
              <w:tc>
                <w:tcPr>
                  <w:tcW w:w="2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0"/>
                      <w:sz w:val="24"/>
                      <w:szCs w:val="24"/>
                    </w:rPr>
                  </w:pPr>
                  <w:r>
                    <w:rPr>
                      <w:rFonts w:ascii="Times New Roman" w:hAnsi="Times New Roman" w:eastAsia="宋体" w:cs="Times New Roman"/>
                      <w:color w:val="auto"/>
                    </w:rPr>
                    <w:t>GB12348-2008 中的2类标准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93"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rPr>
                  </w:pPr>
                  <w:r>
                    <w:rPr>
                      <w:rFonts w:ascii="Times New Roman" w:hAnsi="Times New Roman" w:eastAsia="宋体" w:cs="Times New Roman"/>
                      <w:b/>
                      <w:color w:val="auto"/>
                    </w:rPr>
                    <w:t>监测频次参照《排污单位自行监测技术指南 水处理》(HJ 1083-2020</w:t>
                  </w:r>
                  <w:r>
                    <w:rPr>
                      <w:rFonts w:hint="eastAsia" w:ascii="Times New Roman" w:hAnsi="Times New Roman" w:eastAsia="宋体" w:cs="Times New Roman"/>
                      <w:b/>
                      <w:color w:val="auto"/>
                      <w:lang w:eastAsia="zh-CN"/>
                    </w:rPr>
                    <w:t>）</w:t>
                  </w:r>
                  <w:r>
                    <w:rPr>
                      <w:rFonts w:ascii="Times New Roman" w:hAnsi="Times New Roman" w:eastAsia="宋体" w:cs="Times New Roman"/>
                      <w:b/>
                      <w:color w:val="auto"/>
                    </w:rPr>
                    <w:t>执行。</w:t>
                  </w:r>
                </w:p>
              </w:tc>
            </w:tr>
          </w:tbl>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4.8固体废物</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本项目产生的固废主要为栅渣及沉砂、污泥和生活垃圾等一般工业固废以及废机油、废活性炭、废灯管等危险废物。</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4.8.1固废产生情况</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1、栅渣及沉砂</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污水在处理过程中将产生一定量的栅渣及沉砂，其产生量与进水水质、污染物去除率以及处理工艺等有关。类比同类污水处理厂经验参数，一般栅渣及沉砂产生系数约250kg/万m</w:t>
            </w:r>
            <w:r>
              <w:rPr>
                <w:rFonts w:ascii="Times New Roman" w:hAnsi="Times New Roman" w:eastAsia="宋体" w:cs="Times New Roman"/>
                <w:color w:val="auto"/>
                <w:kern w:val="0"/>
                <w:sz w:val="24"/>
                <w:szCs w:val="24"/>
                <w:vertAlign w:val="superscript"/>
              </w:rPr>
              <w:t>3</w:t>
            </w:r>
            <w:r>
              <w:rPr>
                <w:rFonts w:ascii="Times New Roman" w:hAnsi="Times New Roman" w:eastAsia="宋体" w:cs="Times New Roman"/>
                <w:color w:val="auto"/>
                <w:kern w:val="0"/>
                <w:sz w:val="24"/>
                <w:szCs w:val="24"/>
              </w:rPr>
              <w:t>污水。本项目年处理废水量为</w:t>
            </w:r>
            <w:r>
              <w:rPr>
                <w:rFonts w:hint="eastAsia" w:ascii="Times New Roman" w:hAnsi="Times New Roman" w:eastAsia="宋体" w:cs="Times New Roman"/>
                <w:color w:val="auto"/>
                <w:kern w:val="0"/>
                <w:sz w:val="24"/>
                <w:szCs w:val="24"/>
                <w:lang w:val="en-US" w:eastAsia="zh-CN"/>
              </w:rPr>
              <w:t>1095</w:t>
            </w:r>
            <w:r>
              <w:rPr>
                <w:rFonts w:ascii="Times New Roman" w:hAnsi="Times New Roman" w:eastAsia="宋体" w:cs="Times New Roman"/>
                <w:color w:val="auto"/>
                <w:kern w:val="0"/>
                <w:sz w:val="24"/>
                <w:szCs w:val="24"/>
              </w:rPr>
              <w:t>万 m</w:t>
            </w:r>
            <w:r>
              <w:rPr>
                <w:rFonts w:ascii="Times New Roman" w:hAnsi="Times New Roman" w:eastAsia="宋体" w:cs="Times New Roman"/>
                <w:color w:val="auto"/>
                <w:kern w:val="0"/>
                <w:sz w:val="24"/>
                <w:szCs w:val="24"/>
                <w:vertAlign w:val="superscript"/>
              </w:rPr>
              <w:t>3</w:t>
            </w:r>
            <w:r>
              <w:rPr>
                <w:rFonts w:ascii="Times New Roman" w:hAnsi="Times New Roman" w:eastAsia="宋体" w:cs="Times New Roman"/>
                <w:color w:val="auto"/>
                <w:kern w:val="0"/>
                <w:sz w:val="24"/>
                <w:szCs w:val="24"/>
              </w:rPr>
              <w:t>，则栅渣及沉砂的产生量为</w:t>
            </w:r>
            <w:r>
              <w:rPr>
                <w:rFonts w:hint="eastAsia" w:ascii="Times New Roman" w:hAnsi="Times New Roman" w:eastAsia="宋体" w:cs="Times New Roman"/>
                <w:color w:val="auto"/>
                <w:kern w:val="0"/>
                <w:sz w:val="24"/>
                <w:szCs w:val="24"/>
                <w:lang w:val="en-US" w:eastAsia="zh-CN"/>
              </w:rPr>
              <w:t>273.75</w:t>
            </w:r>
            <w:r>
              <w:rPr>
                <w:rFonts w:ascii="Times New Roman" w:hAnsi="Times New Roman" w:eastAsia="宋体" w:cs="Times New Roman"/>
                <w:color w:val="auto"/>
                <w:kern w:val="0"/>
                <w:sz w:val="24"/>
                <w:szCs w:val="24"/>
              </w:rPr>
              <w:t>t/a，为一般固废，收集后委托环卫部门定期清运。</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2、污泥</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污泥为活性污泥系统中从二次沉淀池</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或沉淀区</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排出系统外的活性污泥。类比同类污水处理厂经验参数，剩余污泥产生量以废水处理量的 0.01%计。本项目年处理废水量为</w:t>
            </w:r>
            <w:r>
              <w:rPr>
                <w:rFonts w:hint="eastAsia" w:ascii="Times New Roman" w:hAnsi="Times New Roman" w:eastAsia="宋体" w:cs="Times New Roman"/>
                <w:color w:val="auto"/>
                <w:kern w:val="0"/>
                <w:sz w:val="24"/>
                <w:szCs w:val="24"/>
                <w:lang w:val="en-US" w:eastAsia="zh-CN"/>
              </w:rPr>
              <w:t>1095</w:t>
            </w:r>
            <w:r>
              <w:rPr>
                <w:rFonts w:ascii="Times New Roman" w:hAnsi="Times New Roman" w:eastAsia="宋体" w:cs="Times New Roman"/>
                <w:color w:val="auto"/>
                <w:kern w:val="0"/>
                <w:sz w:val="24"/>
                <w:szCs w:val="24"/>
              </w:rPr>
              <w:t>万 m</w:t>
            </w:r>
            <w:r>
              <w:rPr>
                <w:rFonts w:ascii="Times New Roman" w:hAnsi="Times New Roman" w:eastAsia="宋体" w:cs="Times New Roman"/>
                <w:color w:val="auto"/>
                <w:kern w:val="0"/>
                <w:sz w:val="24"/>
                <w:szCs w:val="24"/>
                <w:vertAlign w:val="superscript"/>
              </w:rPr>
              <w:t>3</w:t>
            </w:r>
            <w:r>
              <w:rPr>
                <w:rFonts w:ascii="Times New Roman" w:hAnsi="Times New Roman" w:eastAsia="宋体" w:cs="Times New Roman"/>
                <w:color w:val="auto"/>
                <w:kern w:val="0"/>
                <w:sz w:val="24"/>
                <w:szCs w:val="24"/>
              </w:rPr>
              <w:t>，则剩余污泥产生量为</w:t>
            </w:r>
            <w:r>
              <w:rPr>
                <w:rFonts w:hint="eastAsia" w:ascii="Times New Roman" w:hAnsi="Times New Roman" w:eastAsia="宋体" w:cs="Times New Roman"/>
                <w:color w:val="auto"/>
                <w:kern w:val="0"/>
                <w:sz w:val="24"/>
                <w:szCs w:val="24"/>
                <w:lang w:val="en-US" w:eastAsia="zh-CN"/>
              </w:rPr>
              <w:t>2737.5</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含水率 60%)，为一般固废，收集后</w:t>
            </w:r>
            <w:r>
              <w:rPr>
                <w:rFonts w:hint="eastAsia" w:ascii="Times New Roman" w:hAnsi="Times New Roman" w:eastAsia="宋体" w:cs="Times New Roman"/>
                <w:color w:val="auto"/>
                <w:kern w:val="0"/>
                <w:sz w:val="24"/>
                <w:szCs w:val="24"/>
                <w:lang w:val="en-US" w:eastAsia="zh-CN"/>
              </w:rPr>
              <w:t>运往繁峙县生活垃圾填埋场进行填埋，其处理规模为130t/d（47450t/a），可以满足本项目污泥处置需求</w:t>
            </w:r>
            <w:r>
              <w:rPr>
                <w:rFonts w:ascii="Times New Roman" w:hAnsi="Times New Roman" w:eastAsia="宋体" w:cs="Times New Roman"/>
                <w:color w:val="auto"/>
                <w:kern w:val="0"/>
                <w:sz w:val="24"/>
                <w:szCs w:val="24"/>
              </w:rPr>
              <w:t>。</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3、生活垃圾</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本项目劳动定员</w:t>
            </w:r>
            <w:r>
              <w:rPr>
                <w:rFonts w:hint="eastAsia" w:ascii="Times New Roman" w:hAnsi="Times New Roman" w:eastAsia="宋体" w:cs="Times New Roman"/>
                <w:color w:val="auto"/>
                <w:kern w:val="0"/>
                <w:sz w:val="24"/>
                <w:szCs w:val="24"/>
                <w:lang w:val="en-US" w:eastAsia="zh-CN"/>
              </w:rPr>
              <w:t>30</w:t>
            </w:r>
            <w:r>
              <w:rPr>
                <w:rFonts w:ascii="Times New Roman" w:hAnsi="Times New Roman" w:eastAsia="宋体" w:cs="Times New Roman"/>
                <w:color w:val="auto"/>
                <w:kern w:val="0"/>
                <w:sz w:val="24"/>
                <w:szCs w:val="24"/>
              </w:rPr>
              <w:t>人，生活垃圾产生量按 0.5kg/人·d 计，年生产天数为 365天，生活垃圾产生量为</w:t>
            </w:r>
            <w:r>
              <w:rPr>
                <w:rFonts w:hint="eastAsia" w:ascii="Times New Roman" w:hAnsi="Times New Roman" w:eastAsia="宋体" w:cs="Times New Roman"/>
                <w:color w:val="auto"/>
                <w:kern w:val="0"/>
                <w:sz w:val="24"/>
                <w:szCs w:val="24"/>
                <w:lang w:val="en-US" w:eastAsia="zh-CN"/>
              </w:rPr>
              <w:t>5.475</w:t>
            </w:r>
            <w:r>
              <w:rPr>
                <w:rFonts w:ascii="Times New Roman" w:hAnsi="Times New Roman" w:eastAsia="宋体" w:cs="Times New Roman"/>
                <w:color w:val="auto"/>
                <w:kern w:val="0"/>
                <w:sz w:val="24"/>
                <w:szCs w:val="24"/>
              </w:rPr>
              <w:t>t/a，为一般固废，收集后由环卫部门定期清运。</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4、废包装材料</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废包装材料主要产生于原料包装，主要为尼龙袋、纸箱等，预计产生量约0.</w:t>
            </w:r>
            <w:r>
              <w:rPr>
                <w:rFonts w:hint="eastAsia" w:ascii="Times New Roman" w:hAnsi="Times New Roman" w:eastAsia="宋体" w:cs="Times New Roman"/>
                <w:color w:val="auto"/>
                <w:kern w:val="0"/>
                <w:sz w:val="24"/>
                <w:szCs w:val="24"/>
                <w:lang w:val="en-US" w:eastAsia="zh-CN"/>
              </w:rPr>
              <w:t>4</w:t>
            </w:r>
            <w:r>
              <w:rPr>
                <w:rFonts w:ascii="Times New Roman" w:hAnsi="Times New Roman" w:eastAsia="宋体" w:cs="Times New Roman"/>
                <w:color w:val="auto"/>
                <w:kern w:val="0"/>
                <w:sz w:val="24"/>
                <w:szCs w:val="24"/>
              </w:rPr>
              <w:t>t/a，为一般固废，收集后委托物资单位综合利用。</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5、危险废物</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废机油</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废物类别HW08（废矿物油与含矿物油废物），废物代码为900-214-08。</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项目机加工设备需要定期用机油保持润滑，因此产生一</w:t>
            </w:r>
            <w:r>
              <w:rPr>
                <w:rFonts w:hint="eastAsia" w:ascii="Times New Roman" w:hAnsi="Times New Roman" w:eastAsia="宋体" w:cs="Times New Roman"/>
                <w:color w:val="auto"/>
                <w:kern w:val="0"/>
                <w:sz w:val="24"/>
                <w:szCs w:val="24"/>
                <w:lang w:eastAsia="zh-CN"/>
              </w:rPr>
              <w:t>定量的废机</w:t>
            </w:r>
            <w:r>
              <w:rPr>
                <w:rFonts w:ascii="Times New Roman" w:hAnsi="Times New Roman" w:eastAsia="宋体" w:cs="Times New Roman"/>
                <w:color w:val="auto"/>
                <w:kern w:val="0"/>
                <w:sz w:val="24"/>
                <w:szCs w:val="24"/>
              </w:rPr>
              <w:t>油，本项目机油使用量为0.</w:t>
            </w:r>
            <w:r>
              <w:rPr>
                <w:rFonts w:hint="eastAsia" w:ascii="Times New Roman" w:hAnsi="Times New Roman" w:eastAsia="宋体" w:cs="Times New Roman"/>
                <w:color w:val="auto"/>
                <w:kern w:val="0"/>
                <w:sz w:val="24"/>
                <w:szCs w:val="24"/>
                <w:lang w:val="en-US" w:eastAsia="zh-CN"/>
              </w:rPr>
              <w:t>5</w:t>
            </w:r>
            <w:r>
              <w:rPr>
                <w:rFonts w:ascii="Times New Roman" w:hAnsi="Times New Roman" w:eastAsia="宋体" w:cs="Times New Roman"/>
                <w:color w:val="auto"/>
                <w:kern w:val="0"/>
                <w:sz w:val="24"/>
                <w:szCs w:val="24"/>
              </w:rPr>
              <w:t>t/a，每年废机油产生量为0.</w:t>
            </w:r>
            <w:r>
              <w:rPr>
                <w:rFonts w:hint="eastAsia" w:ascii="Times New Roman" w:hAnsi="Times New Roman" w:eastAsia="宋体" w:cs="Times New Roman"/>
                <w:color w:val="auto"/>
                <w:kern w:val="0"/>
                <w:sz w:val="24"/>
                <w:szCs w:val="24"/>
                <w:lang w:val="en-US" w:eastAsia="zh-CN"/>
              </w:rPr>
              <w:t>2t</w:t>
            </w:r>
            <w:r>
              <w:rPr>
                <w:rFonts w:ascii="Times New Roman" w:hAnsi="Times New Roman" w:eastAsia="宋体" w:cs="Times New Roman"/>
                <w:color w:val="auto"/>
                <w:kern w:val="0"/>
                <w:sz w:val="24"/>
                <w:szCs w:val="24"/>
              </w:rPr>
              <w:t>/a，厂区危险废物暂存间暂存，委托有资质的单位合理处置。</w:t>
            </w:r>
          </w:p>
          <w:p>
            <w:pPr>
              <w:pStyle w:val="33"/>
              <w:numPr>
                <w:ilvl w:val="0"/>
                <w:numId w:val="3"/>
              </w:numPr>
              <w:adjustRightInd w:val="0"/>
              <w:snapToGrid w:val="0"/>
              <w:spacing w:line="360" w:lineRule="auto"/>
              <w:ind w:firstLineChars="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废活性炭</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废物类别为HW49（其他废物），废物代码为900-041-49。</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除臭装置选用UV光氧+活性炭，废气治理过程中会产生废活性炭，产生量为0.</w:t>
            </w:r>
            <w:r>
              <w:rPr>
                <w:rFonts w:hint="eastAsia" w:ascii="Times New Roman" w:hAnsi="Times New Roman" w:eastAsia="宋体" w:cs="Times New Roman"/>
                <w:color w:val="auto"/>
                <w:kern w:val="0"/>
                <w:sz w:val="24"/>
                <w:szCs w:val="24"/>
                <w:lang w:val="en-US" w:eastAsia="zh-CN"/>
              </w:rPr>
              <w:t>5</w:t>
            </w:r>
            <w:r>
              <w:rPr>
                <w:rFonts w:ascii="Times New Roman" w:hAnsi="Times New Roman" w:eastAsia="宋体" w:cs="Times New Roman"/>
                <w:color w:val="auto"/>
                <w:kern w:val="0"/>
                <w:sz w:val="24"/>
                <w:szCs w:val="24"/>
              </w:rPr>
              <w:t>t/a，采用密封桶进行收集，经危废暂存间收集后</w:t>
            </w:r>
            <w:r>
              <w:rPr>
                <w:rFonts w:hint="eastAsia" w:ascii="Times New Roman" w:hAnsi="Times New Roman" w:eastAsia="宋体" w:cs="Times New Roman"/>
                <w:color w:val="auto"/>
                <w:kern w:val="0"/>
                <w:sz w:val="24"/>
                <w:szCs w:val="24"/>
                <w:lang w:eastAsia="zh-CN"/>
              </w:rPr>
              <w:t>交由</w:t>
            </w:r>
            <w:r>
              <w:rPr>
                <w:rFonts w:ascii="Times New Roman" w:hAnsi="Times New Roman" w:eastAsia="宋体" w:cs="Times New Roman"/>
                <w:color w:val="auto"/>
                <w:kern w:val="0"/>
                <w:sz w:val="24"/>
                <w:szCs w:val="24"/>
              </w:rPr>
              <w:t>资质单位处置。</w:t>
            </w:r>
          </w:p>
          <w:p>
            <w:pPr>
              <w:pStyle w:val="33"/>
              <w:numPr>
                <w:ilvl w:val="0"/>
                <w:numId w:val="3"/>
              </w:numPr>
              <w:adjustRightInd w:val="0"/>
              <w:snapToGrid w:val="0"/>
              <w:spacing w:line="360" w:lineRule="auto"/>
              <w:ind w:firstLineChars="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废灯管</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废物类别为HW49（其他废物），废物代码为900-044-49。</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除臭装置选用UV光氧+活性炭，废气治理过程中会产生废灯管，废灯管产生量为0.</w:t>
            </w:r>
            <w:r>
              <w:rPr>
                <w:rFonts w:hint="eastAsia" w:ascii="Times New Roman" w:hAnsi="Times New Roman" w:eastAsia="宋体" w:cs="Times New Roman"/>
                <w:color w:val="auto"/>
                <w:kern w:val="0"/>
                <w:sz w:val="24"/>
                <w:szCs w:val="24"/>
                <w:lang w:val="en-US" w:eastAsia="zh-CN"/>
              </w:rPr>
              <w:t>3</w:t>
            </w:r>
            <w:r>
              <w:rPr>
                <w:rFonts w:ascii="Times New Roman" w:hAnsi="Times New Roman" w:eastAsia="宋体" w:cs="Times New Roman"/>
                <w:color w:val="auto"/>
                <w:kern w:val="0"/>
                <w:sz w:val="24"/>
                <w:szCs w:val="24"/>
              </w:rPr>
              <w:t>t/a，采用密封桶进行收集，经危废暂存间收集后</w:t>
            </w:r>
            <w:r>
              <w:rPr>
                <w:rFonts w:hint="eastAsia" w:ascii="Times New Roman" w:hAnsi="Times New Roman" w:eastAsia="宋体" w:cs="Times New Roman"/>
                <w:color w:val="auto"/>
                <w:kern w:val="0"/>
                <w:sz w:val="24"/>
                <w:szCs w:val="24"/>
                <w:lang w:eastAsia="zh-CN"/>
              </w:rPr>
              <w:t>交由</w:t>
            </w:r>
            <w:r>
              <w:rPr>
                <w:rFonts w:ascii="Times New Roman" w:hAnsi="Times New Roman" w:eastAsia="宋体" w:cs="Times New Roman"/>
                <w:color w:val="auto"/>
                <w:kern w:val="0"/>
                <w:sz w:val="24"/>
                <w:szCs w:val="24"/>
              </w:rPr>
              <w:t>资质单位处置。</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④化验室化验药剂废包装</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废物类别为HW49（其他废物），废物代码为900-041-49。</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污水处理厂设化验室，可测定 BOD</w:t>
            </w:r>
            <w:r>
              <w:rPr>
                <w:rFonts w:hint="eastAsia" w:ascii="Times New Roman" w:hAnsi="Times New Roman" w:eastAsia="宋体" w:cs="Times New Roman"/>
                <w:color w:val="auto"/>
                <w:kern w:val="0"/>
                <w:sz w:val="24"/>
                <w:szCs w:val="24"/>
                <w:vertAlign w:val="subscript"/>
                <w:lang w:val="en-US" w:eastAsia="zh-CN"/>
              </w:rPr>
              <w:t>5</w:t>
            </w:r>
            <w:r>
              <w:rPr>
                <w:rFonts w:hint="eastAsia" w:ascii="Times New Roman" w:hAnsi="Times New Roman" w:eastAsia="宋体" w:cs="Times New Roman"/>
                <w:color w:val="auto"/>
                <w:kern w:val="0"/>
                <w:sz w:val="24"/>
                <w:szCs w:val="24"/>
                <w:lang w:val="en-US" w:eastAsia="zh-CN"/>
              </w:rPr>
              <w:t>、COD</w:t>
            </w:r>
            <w:r>
              <w:rPr>
                <w:rFonts w:hint="eastAsia" w:ascii="Times New Roman" w:hAnsi="Times New Roman" w:eastAsia="宋体" w:cs="Times New Roman"/>
                <w:color w:val="auto"/>
                <w:kern w:val="0"/>
                <w:sz w:val="24"/>
                <w:szCs w:val="24"/>
                <w:vertAlign w:val="subscript"/>
                <w:lang w:val="en-US" w:eastAsia="zh-CN"/>
              </w:rPr>
              <w:t>Cr</w:t>
            </w:r>
            <w:r>
              <w:rPr>
                <w:rFonts w:hint="eastAsia" w:ascii="Times New Roman" w:hAnsi="Times New Roman" w:eastAsia="宋体" w:cs="Times New Roman"/>
                <w:color w:val="auto"/>
                <w:kern w:val="0"/>
                <w:sz w:val="24"/>
                <w:szCs w:val="24"/>
                <w:lang w:val="en-US" w:eastAsia="zh-CN"/>
              </w:rPr>
              <w:t>、SS、NH</w:t>
            </w:r>
            <w:r>
              <w:rPr>
                <w:rFonts w:hint="eastAsia" w:ascii="Times New Roman" w:hAnsi="Times New Roman" w:eastAsia="宋体" w:cs="Times New Roman"/>
                <w:color w:val="auto"/>
                <w:kern w:val="0"/>
                <w:sz w:val="24"/>
                <w:szCs w:val="24"/>
                <w:vertAlign w:val="subscript"/>
                <w:lang w:val="en-US" w:eastAsia="zh-CN"/>
              </w:rPr>
              <w:t>3</w:t>
            </w:r>
            <w:r>
              <w:rPr>
                <w:rFonts w:hint="eastAsia" w:ascii="Times New Roman" w:hAnsi="Times New Roman" w:eastAsia="宋体" w:cs="Times New Roman"/>
                <w:color w:val="auto"/>
                <w:kern w:val="0"/>
                <w:sz w:val="24"/>
                <w:szCs w:val="24"/>
                <w:lang w:val="en-US" w:eastAsia="zh-CN"/>
              </w:rPr>
              <w:t>-N、TN、TP、pH 值、DO、余氯、SV、水温等指标，且能检测微生物、细菌的生长状态，在化验过程中使用到的化验药剂废包装产生量约为0.1t/a，化验药剂废包装暂存于</w:t>
            </w:r>
            <w:r>
              <w:rPr>
                <w:rFonts w:ascii="Times New Roman" w:hAnsi="Times New Roman" w:eastAsia="宋体" w:cs="Times New Roman"/>
                <w:color w:val="auto"/>
                <w:kern w:val="0"/>
                <w:sz w:val="24"/>
                <w:szCs w:val="24"/>
              </w:rPr>
              <w:t>危废暂存间</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 xml:space="preserve">由药剂厂家定期回收。 </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固废产生情况详见表 4-</w:t>
            </w:r>
            <w:r>
              <w:rPr>
                <w:rFonts w:hint="eastAsia" w:ascii="Times New Roman" w:hAnsi="Times New Roman" w:eastAsia="宋体" w:cs="Times New Roman"/>
                <w:color w:val="auto"/>
                <w:kern w:val="0"/>
                <w:sz w:val="24"/>
                <w:szCs w:val="24"/>
                <w:lang w:val="en-US" w:eastAsia="zh-CN"/>
              </w:rPr>
              <w:t>13</w:t>
            </w:r>
            <w:r>
              <w:rPr>
                <w:rFonts w:ascii="Times New Roman" w:hAnsi="Times New Roman" w:eastAsia="宋体" w:cs="Times New Roman"/>
                <w:color w:val="auto"/>
                <w:kern w:val="0"/>
                <w:sz w:val="24"/>
                <w:szCs w:val="24"/>
              </w:rPr>
              <w:t>。</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 4-</w:t>
            </w:r>
            <w:r>
              <w:rPr>
                <w:rFonts w:hint="eastAsia" w:ascii="Times New Roman" w:hAnsi="Times New Roman" w:eastAsia="宋体"/>
                <w:color w:val="auto"/>
                <w:sz w:val="24"/>
                <w:szCs w:val="24"/>
                <w:lang w:val="en-US" w:eastAsia="zh-CN"/>
              </w:rPr>
              <w:t>13</w:t>
            </w:r>
            <w:r>
              <w:rPr>
                <w:rFonts w:ascii="Times New Roman" w:hAnsi="Times New Roman" w:eastAsia="宋体"/>
                <w:color w:val="auto"/>
                <w:sz w:val="24"/>
                <w:szCs w:val="24"/>
              </w:rPr>
              <w:tab/>
            </w:r>
            <w:r>
              <w:rPr>
                <w:rFonts w:ascii="Times New Roman" w:hAnsi="Times New Roman" w:eastAsia="宋体"/>
                <w:color w:val="auto"/>
                <w:sz w:val="24"/>
                <w:szCs w:val="24"/>
              </w:rPr>
              <w:t>项目固废产生情况汇总表</w:t>
            </w:r>
          </w:p>
          <w:tbl>
            <w:tblPr>
              <w:tblStyle w:val="45"/>
              <w:tblW w:w="859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1"/>
              <w:gridCol w:w="1035"/>
              <w:gridCol w:w="1517"/>
              <w:gridCol w:w="724"/>
              <w:gridCol w:w="870"/>
              <w:gridCol w:w="1592"/>
              <w:gridCol w:w="1159"/>
              <w:gridCol w:w="11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52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szCs w:val="21"/>
                      <w:lang w:eastAsia="zh-CN"/>
                    </w:rPr>
                  </w:pPr>
                  <w:r>
                    <w:rPr>
                      <w:rFonts w:eastAsia="宋体"/>
                      <w:b/>
                      <w:bCs/>
                      <w:color w:val="auto"/>
                      <w:sz w:val="21"/>
                      <w:szCs w:val="21"/>
                      <w:lang w:eastAsia="zh-CN"/>
                    </w:rPr>
                    <w:t>序号</w:t>
                  </w:r>
                </w:p>
              </w:tc>
              <w:tc>
                <w:tcPr>
                  <w:tcW w:w="103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szCs w:val="21"/>
                      <w:lang w:eastAsia="zh-CN"/>
                    </w:rPr>
                  </w:pPr>
                  <w:r>
                    <w:rPr>
                      <w:rFonts w:eastAsia="宋体"/>
                      <w:b/>
                      <w:bCs/>
                      <w:color w:val="auto"/>
                      <w:sz w:val="21"/>
                      <w:szCs w:val="21"/>
                      <w:lang w:eastAsia="zh-CN"/>
                    </w:rPr>
                    <w:t>副产物名称</w:t>
                  </w:r>
                </w:p>
              </w:tc>
              <w:tc>
                <w:tcPr>
                  <w:tcW w:w="1517"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szCs w:val="21"/>
                      <w:lang w:eastAsia="zh-CN"/>
                    </w:rPr>
                  </w:pPr>
                  <w:r>
                    <w:rPr>
                      <w:rFonts w:eastAsia="宋体"/>
                      <w:b/>
                      <w:bCs/>
                      <w:color w:val="auto"/>
                      <w:sz w:val="21"/>
                      <w:szCs w:val="21"/>
                      <w:lang w:eastAsia="zh-CN"/>
                    </w:rPr>
                    <w:t>产生工序</w:t>
                  </w:r>
                </w:p>
              </w:tc>
              <w:tc>
                <w:tcPr>
                  <w:tcW w:w="72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szCs w:val="21"/>
                      <w:lang w:eastAsia="zh-CN"/>
                    </w:rPr>
                  </w:pPr>
                  <w:r>
                    <w:rPr>
                      <w:rFonts w:eastAsia="宋体"/>
                      <w:b/>
                      <w:bCs/>
                      <w:color w:val="auto"/>
                      <w:sz w:val="21"/>
                      <w:szCs w:val="21"/>
                      <w:lang w:eastAsia="zh-CN"/>
                    </w:rPr>
                    <w:t>形态</w:t>
                  </w:r>
                </w:p>
              </w:tc>
              <w:tc>
                <w:tcPr>
                  <w:tcW w:w="870"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szCs w:val="21"/>
                      <w:lang w:eastAsia="zh-CN"/>
                    </w:rPr>
                  </w:pPr>
                  <w:r>
                    <w:rPr>
                      <w:rFonts w:hint="eastAsia" w:eastAsia="宋体"/>
                      <w:b/>
                      <w:bCs/>
                      <w:color w:val="auto"/>
                      <w:sz w:val="21"/>
                      <w:szCs w:val="21"/>
                      <w:lang w:eastAsia="zh-CN"/>
                    </w:rPr>
                    <w:t>性质</w:t>
                  </w:r>
                </w:p>
              </w:tc>
              <w:tc>
                <w:tcPr>
                  <w:tcW w:w="15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szCs w:val="21"/>
                      <w:lang w:eastAsia="zh-CN"/>
                    </w:rPr>
                  </w:pPr>
                  <w:r>
                    <w:rPr>
                      <w:rFonts w:eastAsia="宋体"/>
                      <w:b/>
                      <w:bCs/>
                      <w:color w:val="auto"/>
                      <w:sz w:val="21"/>
                      <w:szCs w:val="21"/>
                      <w:lang w:eastAsia="zh-CN"/>
                    </w:rPr>
                    <w:t>主要成分</w:t>
                  </w:r>
                </w:p>
              </w:tc>
              <w:tc>
                <w:tcPr>
                  <w:tcW w:w="115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szCs w:val="21"/>
                      <w:lang w:eastAsia="zh-CN"/>
                    </w:rPr>
                  </w:pPr>
                  <w:r>
                    <w:rPr>
                      <w:rFonts w:eastAsia="宋体"/>
                      <w:b/>
                      <w:bCs/>
                      <w:color w:val="auto"/>
                      <w:sz w:val="21"/>
                      <w:szCs w:val="21"/>
                      <w:lang w:eastAsia="zh-CN"/>
                    </w:rPr>
                    <w:t>产生量/(t/a)</w:t>
                  </w:r>
                </w:p>
              </w:tc>
              <w:tc>
                <w:tcPr>
                  <w:tcW w:w="117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szCs w:val="21"/>
                      <w:lang w:eastAsia="zh-CN"/>
                    </w:rPr>
                  </w:pPr>
                  <w:r>
                    <w:rPr>
                      <w:rFonts w:hint="eastAsia" w:eastAsia="宋体"/>
                      <w:b/>
                      <w:bCs/>
                      <w:color w:val="auto"/>
                      <w:sz w:val="21"/>
                      <w:szCs w:val="21"/>
                      <w:lang w:eastAsia="zh-CN"/>
                    </w:rPr>
                    <w:t>处置</w:t>
                  </w:r>
                  <w:r>
                    <w:rPr>
                      <w:rFonts w:eastAsia="宋体"/>
                      <w:b/>
                      <w:bCs/>
                      <w:color w:val="auto"/>
                      <w:sz w:val="21"/>
                      <w:szCs w:val="21"/>
                      <w:lang w:eastAsia="zh-CN"/>
                    </w:rPr>
                    <w:t>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52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w w:val="99"/>
                      <w:sz w:val="21"/>
                      <w:szCs w:val="21"/>
                      <w:lang w:eastAsia="zh-CN"/>
                    </w:rPr>
                    <w:t>1</w:t>
                  </w:r>
                </w:p>
              </w:tc>
              <w:tc>
                <w:tcPr>
                  <w:tcW w:w="103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栅渣及沉砂</w:t>
                  </w:r>
                </w:p>
              </w:tc>
              <w:tc>
                <w:tcPr>
                  <w:tcW w:w="1517"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格栅处理、沉砂处理</w:t>
                  </w:r>
                </w:p>
              </w:tc>
              <w:tc>
                <w:tcPr>
                  <w:tcW w:w="72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固态</w:t>
                  </w:r>
                </w:p>
              </w:tc>
              <w:tc>
                <w:tcPr>
                  <w:tcW w:w="870"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hint="eastAsia" w:eastAsia="宋体"/>
                      <w:color w:val="auto"/>
                      <w:sz w:val="21"/>
                      <w:szCs w:val="21"/>
                      <w:lang w:eastAsia="zh-CN"/>
                    </w:rPr>
                    <w:t>一般工业固废</w:t>
                  </w:r>
                </w:p>
              </w:tc>
              <w:tc>
                <w:tcPr>
                  <w:tcW w:w="15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砂石、漂浮物等</w:t>
                  </w:r>
                </w:p>
              </w:tc>
              <w:tc>
                <w:tcPr>
                  <w:tcW w:w="115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273.75</w:t>
                  </w:r>
                </w:p>
              </w:tc>
              <w:tc>
                <w:tcPr>
                  <w:tcW w:w="117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eastAsia="宋体"/>
                      <w:color w:val="auto"/>
                      <w:sz w:val="21"/>
                      <w:szCs w:val="21"/>
                      <w:lang w:eastAsia="zh-CN"/>
                    </w:rPr>
                  </w:pPr>
                  <w:r>
                    <w:rPr>
                      <w:rFonts w:hint="eastAsia" w:eastAsia="宋体"/>
                      <w:color w:val="auto"/>
                      <w:sz w:val="21"/>
                      <w:szCs w:val="21"/>
                      <w:lang w:val="en-US" w:eastAsia="zh-CN"/>
                    </w:rPr>
                    <w:t>273.75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2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w w:val="99"/>
                      <w:sz w:val="21"/>
                      <w:szCs w:val="21"/>
                      <w:lang w:eastAsia="zh-CN"/>
                    </w:rPr>
                    <w:t>2</w:t>
                  </w:r>
                </w:p>
              </w:tc>
              <w:tc>
                <w:tcPr>
                  <w:tcW w:w="103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污泥</w:t>
                  </w:r>
                </w:p>
              </w:tc>
              <w:tc>
                <w:tcPr>
                  <w:tcW w:w="1517"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污泥脱水</w:t>
                  </w:r>
                </w:p>
              </w:tc>
              <w:tc>
                <w:tcPr>
                  <w:tcW w:w="72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固态</w:t>
                  </w:r>
                </w:p>
              </w:tc>
              <w:tc>
                <w:tcPr>
                  <w:tcW w:w="870"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p>
              </w:tc>
              <w:tc>
                <w:tcPr>
                  <w:tcW w:w="15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污泥</w:t>
                  </w:r>
                </w:p>
              </w:tc>
              <w:tc>
                <w:tcPr>
                  <w:tcW w:w="115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2737.5</w:t>
                  </w:r>
                </w:p>
              </w:tc>
              <w:tc>
                <w:tcPr>
                  <w:tcW w:w="117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eastAsia="宋体"/>
                      <w:color w:val="auto"/>
                      <w:sz w:val="21"/>
                      <w:szCs w:val="21"/>
                      <w:lang w:eastAsia="zh-CN"/>
                    </w:rPr>
                  </w:pPr>
                  <w:r>
                    <w:rPr>
                      <w:rFonts w:hint="eastAsia" w:eastAsia="宋体"/>
                      <w:color w:val="auto"/>
                      <w:sz w:val="21"/>
                      <w:szCs w:val="21"/>
                      <w:lang w:val="en-US" w:eastAsia="zh-CN"/>
                    </w:rPr>
                    <w:t>2737.5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52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w w:val="99"/>
                      <w:sz w:val="21"/>
                      <w:szCs w:val="21"/>
                      <w:lang w:eastAsia="zh-CN"/>
                    </w:rPr>
                    <w:t>3</w:t>
                  </w:r>
                </w:p>
              </w:tc>
              <w:tc>
                <w:tcPr>
                  <w:tcW w:w="103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lang w:eastAsia="zh-CN"/>
                    </w:rPr>
                    <w:t>废包装材料</w:t>
                  </w:r>
                </w:p>
              </w:tc>
              <w:tc>
                <w:tcPr>
                  <w:tcW w:w="1517"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lang w:eastAsia="zh-CN"/>
                    </w:rPr>
                    <w:t>原料包装</w:t>
                  </w:r>
                </w:p>
              </w:tc>
              <w:tc>
                <w:tcPr>
                  <w:tcW w:w="72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lang w:eastAsia="zh-CN"/>
                    </w:rPr>
                    <w:t>固态</w:t>
                  </w:r>
                </w:p>
              </w:tc>
              <w:tc>
                <w:tcPr>
                  <w:tcW w:w="870"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lang w:eastAsia="zh-CN"/>
                    </w:rPr>
                  </w:pPr>
                </w:p>
              </w:tc>
              <w:tc>
                <w:tcPr>
                  <w:tcW w:w="15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lang w:eastAsia="zh-CN"/>
                    </w:rPr>
                    <w:t>尼龙袋、纸箱等</w:t>
                  </w:r>
                </w:p>
              </w:tc>
              <w:tc>
                <w:tcPr>
                  <w:tcW w:w="115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hint="default" w:eastAsia="宋体"/>
                      <w:color w:val="auto"/>
                      <w:sz w:val="21"/>
                      <w:szCs w:val="21"/>
                      <w:lang w:val="en-US" w:eastAsia="zh-CN"/>
                    </w:rPr>
                  </w:pPr>
                  <w:r>
                    <w:rPr>
                      <w:rFonts w:hint="eastAsia" w:eastAsia="宋体"/>
                      <w:color w:val="auto"/>
                      <w:sz w:val="21"/>
                      <w:lang w:val="en-US" w:eastAsia="zh-CN"/>
                    </w:rPr>
                    <w:t>0.4</w:t>
                  </w:r>
                </w:p>
              </w:tc>
              <w:tc>
                <w:tcPr>
                  <w:tcW w:w="117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eastAsia="宋体"/>
                      <w:color w:val="auto"/>
                      <w:sz w:val="21"/>
                      <w:lang w:eastAsia="zh-CN"/>
                    </w:rPr>
                  </w:pPr>
                  <w:r>
                    <w:rPr>
                      <w:rFonts w:hint="eastAsia" w:eastAsia="宋体"/>
                      <w:color w:val="auto"/>
                      <w:sz w:val="21"/>
                      <w:lang w:val="en-US" w:eastAsia="zh-CN"/>
                    </w:rPr>
                    <w:t>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52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w w:val="99"/>
                      <w:sz w:val="21"/>
                      <w:szCs w:val="21"/>
                      <w:lang w:eastAsia="zh-CN"/>
                    </w:rPr>
                  </w:pPr>
                  <w:r>
                    <w:rPr>
                      <w:rFonts w:eastAsia="宋体"/>
                      <w:color w:val="auto"/>
                      <w:w w:val="99"/>
                      <w:sz w:val="21"/>
                      <w:szCs w:val="21"/>
                      <w:lang w:eastAsia="zh-CN"/>
                    </w:rPr>
                    <w:t>4</w:t>
                  </w:r>
                </w:p>
              </w:tc>
              <w:tc>
                <w:tcPr>
                  <w:tcW w:w="103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生活垃圾</w:t>
                  </w:r>
                </w:p>
              </w:tc>
              <w:tc>
                <w:tcPr>
                  <w:tcW w:w="1517"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污泥脱水</w:t>
                  </w:r>
                </w:p>
              </w:tc>
              <w:tc>
                <w:tcPr>
                  <w:tcW w:w="72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固态</w:t>
                  </w:r>
                </w:p>
              </w:tc>
              <w:tc>
                <w:tcPr>
                  <w:tcW w:w="870"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p>
              </w:tc>
              <w:tc>
                <w:tcPr>
                  <w:tcW w:w="15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生活垃圾</w:t>
                  </w:r>
                </w:p>
              </w:tc>
              <w:tc>
                <w:tcPr>
                  <w:tcW w:w="115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5.475</w:t>
                  </w:r>
                </w:p>
              </w:tc>
              <w:tc>
                <w:tcPr>
                  <w:tcW w:w="117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eastAsia="宋体"/>
                      <w:color w:val="auto"/>
                      <w:sz w:val="21"/>
                      <w:szCs w:val="21"/>
                      <w:lang w:eastAsia="zh-CN"/>
                    </w:rPr>
                  </w:pPr>
                  <w:r>
                    <w:rPr>
                      <w:rFonts w:hint="eastAsia" w:eastAsia="宋体"/>
                      <w:color w:val="auto"/>
                      <w:sz w:val="21"/>
                      <w:szCs w:val="21"/>
                      <w:lang w:val="en-US" w:eastAsia="zh-CN"/>
                    </w:rPr>
                    <w:t>5.475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52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w w:val="99"/>
                      <w:sz w:val="21"/>
                      <w:szCs w:val="21"/>
                      <w:lang w:eastAsia="zh-CN"/>
                    </w:rPr>
                  </w:pPr>
                  <w:r>
                    <w:rPr>
                      <w:rFonts w:eastAsia="宋体"/>
                      <w:color w:val="auto"/>
                      <w:w w:val="99"/>
                      <w:sz w:val="21"/>
                      <w:szCs w:val="21"/>
                      <w:lang w:eastAsia="zh-CN"/>
                    </w:rPr>
                    <w:t>5</w:t>
                  </w:r>
                </w:p>
              </w:tc>
              <w:tc>
                <w:tcPr>
                  <w:tcW w:w="103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废机油</w:t>
                  </w:r>
                </w:p>
              </w:tc>
              <w:tc>
                <w:tcPr>
                  <w:tcW w:w="1517"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污水处理设备</w:t>
                  </w:r>
                </w:p>
              </w:tc>
              <w:tc>
                <w:tcPr>
                  <w:tcW w:w="72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液态</w:t>
                  </w:r>
                </w:p>
              </w:tc>
              <w:tc>
                <w:tcPr>
                  <w:tcW w:w="870"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hint="eastAsia" w:eastAsia="宋体"/>
                      <w:color w:val="auto"/>
                      <w:sz w:val="21"/>
                      <w:szCs w:val="21"/>
                      <w:lang w:eastAsia="zh-CN"/>
                    </w:rPr>
                    <w:t>危险废物</w:t>
                  </w:r>
                </w:p>
              </w:tc>
              <w:tc>
                <w:tcPr>
                  <w:tcW w:w="15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废机油</w:t>
                  </w:r>
                </w:p>
              </w:tc>
              <w:tc>
                <w:tcPr>
                  <w:tcW w:w="115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0.</w:t>
                  </w:r>
                  <w:r>
                    <w:rPr>
                      <w:rFonts w:hint="eastAsia" w:eastAsia="宋体"/>
                      <w:color w:val="auto"/>
                      <w:sz w:val="21"/>
                      <w:szCs w:val="21"/>
                      <w:lang w:val="en-US" w:eastAsia="zh-CN"/>
                    </w:rPr>
                    <w:t>2</w:t>
                  </w:r>
                </w:p>
              </w:tc>
              <w:tc>
                <w:tcPr>
                  <w:tcW w:w="117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eastAsia="宋体"/>
                      <w:color w:val="auto"/>
                      <w:sz w:val="21"/>
                      <w:szCs w:val="21"/>
                      <w:lang w:eastAsia="zh-CN"/>
                    </w:rPr>
                  </w:pPr>
                  <w:r>
                    <w:rPr>
                      <w:rFonts w:eastAsia="宋体"/>
                      <w:color w:val="auto"/>
                      <w:sz w:val="21"/>
                      <w:szCs w:val="21"/>
                      <w:lang w:eastAsia="zh-CN"/>
                    </w:rPr>
                    <w:t>0.</w:t>
                  </w:r>
                  <w:r>
                    <w:rPr>
                      <w:rFonts w:hint="eastAsia" w:eastAsia="宋体"/>
                      <w:color w:val="auto"/>
                      <w:sz w:val="21"/>
                      <w:szCs w:val="21"/>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52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w w:val="99"/>
                      <w:sz w:val="21"/>
                      <w:szCs w:val="21"/>
                      <w:lang w:eastAsia="zh-CN"/>
                    </w:rPr>
                  </w:pPr>
                  <w:r>
                    <w:rPr>
                      <w:rFonts w:eastAsia="宋体"/>
                      <w:color w:val="auto"/>
                      <w:w w:val="99"/>
                      <w:sz w:val="21"/>
                      <w:szCs w:val="21"/>
                      <w:lang w:eastAsia="zh-CN"/>
                    </w:rPr>
                    <w:t>6</w:t>
                  </w:r>
                </w:p>
              </w:tc>
              <w:tc>
                <w:tcPr>
                  <w:tcW w:w="103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废活性炭</w:t>
                  </w:r>
                </w:p>
              </w:tc>
              <w:tc>
                <w:tcPr>
                  <w:tcW w:w="1517"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废气治理</w:t>
                  </w:r>
                </w:p>
              </w:tc>
              <w:tc>
                <w:tcPr>
                  <w:tcW w:w="72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lang w:eastAsia="zh-CN"/>
                    </w:rPr>
                    <w:t>固态</w:t>
                  </w:r>
                </w:p>
              </w:tc>
              <w:tc>
                <w:tcPr>
                  <w:tcW w:w="870"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p>
              </w:tc>
              <w:tc>
                <w:tcPr>
                  <w:tcW w:w="15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废活性炭</w:t>
                  </w:r>
                </w:p>
              </w:tc>
              <w:tc>
                <w:tcPr>
                  <w:tcW w:w="115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0.5</w:t>
                  </w:r>
                </w:p>
              </w:tc>
              <w:tc>
                <w:tcPr>
                  <w:tcW w:w="117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eastAsia="宋体"/>
                      <w:color w:val="auto"/>
                      <w:sz w:val="21"/>
                      <w:szCs w:val="21"/>
                      <w:lang w:eastAsia="zh-CN"/>
                    </w:rPr>
                  </w:pPr>
                  <w:r>
                    <w:rPr>
                      <w:rFonts w:hint="eastAsia" w:eastAsia="宋体"/>
                      <w:color w:val="auto"/>
                      <w:sz w:val="21"/>
                      <w:szCs w:val="21"/>
                      <w:lang w:val="en-US" w:eastAsia="zh-CN"/>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52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w w:val="99"/>
                      <w:sz w:val="21"/>
                      <w:szCs w:val="21"/>
                      <w:lang w:eastAsia="zh-CN"/>
                    </w:rPr>
                  </w:pPr>
                  <w:r>
                    <w:rPr>
                      <w:rFonts w:eastAsia="宋体"/>
                      <w:color w:val="auto"/>
                      <w:w w:val="99"/>
                      <w:sz w:val="21"/>
                      <w:szCs w:val="21"/>
                      <w:lang w:eastAsia="zh-CN"/>
                    </w:rPr>
                    <w:t>7</w:t>
                  </w:r>
                </w:p>
              </w:tc>
              <w:tc>
                <w:tcPr>
                  <w:tcW w:w="103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废灯管</w:t>
                  </w:r>
                </w:p>
              </w:tc>
              <w:tc>
                <w:tcPr>
                  <w:tcW w:w="1517"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废气治理</w:t>
                  </w:r>
                </w:p>
              </w:tc>
              <w:tc>
                <w:tcPr>
                  <w:tcW w:w="72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固态</w:t>
                  </w:r>
                </w:p>
              </w:tc>
              <w:tc>
                <w:tcPr>
                  <w:tcW w:w="870"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p>
              </w:tc>
              <w:tc>
                <w:tcPr>
                  <w:tcW w:w="15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废灯管</w:t>
                  </w:r>
                </w:p>
              </w:tc>
              <w:tc>
                <w:tcPr>
                  <w:tcW w:w="115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0.</w:t>
                  </w:r>
                  <w:r>
                    <w:rPr>
                      <w:rFonts w:hint="eastAsia" w:eastAsia="宋体"/>
                      <w:color w:val="auto"/>
                      <w:sz w:val="21"/>
                      <w:szCs w:val="21"/>
                      <w:lang w:val="en-US" w:eastAsia="zh-CN"/>
                    </w:rPr>
                    <w:t>3</w:t>
                  </w:r>
                </w:p>
              </w:tc>
              <w:tc>
                <w:tcPr>
                  <w:tcW w:w="117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eastAsia="宋体"/>
                      <w:color w:val="auto"/>
                      <w:sz w:val="21"/>
                      <w:szCs w:val="21"/>
                      <w:lang w:eastAsia="zh-CN"/>
                    </w:rPr>
                  </w:pPr>
                  <w:r>
                    <w:rPr>
                      <w:rFonts w:eastAsia="宋体"/>
                      <w:color w:val="auto"/>
                      <w:sz w:val="21"/>
                      <w:szCs w:val="21"/>
                      <w:lang w:eastAsia="zh-CN"/>
                    </w:rPr>
                    <w:t>0.</w:t>
                  </w:r>
                  <w:r>
                    <w:rPr>
                      <w:rFonts w:hint="eastAsia" w:eastAsia="宋体"/>
                      <w:color w:val="auto"/>
                      <w:sz w:val="21"/>
                      <w:szCs w:val="21"/>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52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hint="default" w:eastAsia="宋体"/>
                      <w:color w:val="auto"/>
                      <w:w w:val="99"/>
                      <w:sz w:val="21"/>
                      <w:szCs w:val="21"/>
                      <w:lang w:val="en-US" w:eastAsia="zh-CN"/>
                    </w:rPr>
                  </w:pPr>
                  <w:r>
                    <w:rPr>
                      <w:rFonts w:hint="eastAsia" w:eastAsia="宋体"/>
                      <w:color w:val="auto"/>
                      <w:w w:val="99"/>
                      <w:sz w:val="21"/>
                      <w:szCs w:val="21"/>
                      <w:lang w:val="en-US" w:eastAsia="zh-CN"/>
                    </w:rPr>
                    <w:t>8</w:t>
                  </w:r>
                </w:p>
              </w:tc>
              <w:tc>
                <w:tcPr>
                  <w:tcW w:w="103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hint="eastAsia" w:eastAsia="宋体"/>
                      <w:color w:val="auto"/>
                      <w:sz w:val="21"/>
                      <w:szCs w:val="21"/>
                      <w:lang w:val="en-US" w:eastAsia="zh-CN"/>
                    </w:rPr>
                    <w:t>化验药剂废包装</w:t>
                  </w:r>
                </w:p>
              </w:tc>
              <w:tc>
                <w:tcPr>
                  <w:tcW w:w="1517"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废水化验</w:t>
                  </w:r>
                </w:p>
              </w:tc>
              <w:tc>
                <w:tcPr>
                  <w:tcW w:w="72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eastAsia="宋体"/>
                      <w:color w:val="auto"/>
                      <w:sz w:val="21"/>
                      <w:szCs w:val="21"/>
                      <w:lang w:eastAsia="zh-CN"/>
                    </w:rPr>
                    <w:t>固态</w:t>
                  </w:r>
                </w:p>
              </w:tc>
              <w:tc>
                <w:tcPr>
                  <w:tcW w:w="870" w:type="dxa"/>
                  <w:vMerge w:val="continue"/>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p>
              </w:tc>
              <w:tc>
                <w:tcPr>
                  <w:tcW w:w="159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szCs w:val="21"/>
                      <w:lang w:eastAsia="zh-CN"/>
                    </w:rPr>
                  </w:pPr>
                  <w:r>
                    <w:rPr>
                      <w:rFonts w:hint="eastAsia" w:eastAsia="宋体"/>
                      <w:color w:val="auto"/>
                      <w:sz w:val="21"/>
                      <w:szCs w:val="21"/>
                      <w:lang w:val="en-US" w:eastAsia="zh-CN"/>
                    </w:rPr>
                    <w:t>废包装</w:t>
                  </w:r>
                </w:p>
              </w:tc>
              <w:tc>
                <w:tcPr>
                  <w:tcW w:w="115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0.1</w:t>
                  </w:r>
                </w:p>
              </w:tc>
              <w:tc>
                <w:tcPr>
                  <w:tcW w:w="117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0.1</w:t>
                  </w:r>
                </w:p>
              </w:tc>
            </w:tr>
          </w:tbl>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 4-1</w:t>
            </w:r>
            <w:r>
              <w:rPr>
                <w:rFonts w:hint="eastAsia" w:ascii="Times New Roman" w:hAnsi="Times New Roman" w:eastAsia="宋体"/>
                <w:color w:val="auto"/>
                <w:sz w:val="24"/>
                <w:szCs w:val="24"/>
                <w:lang w:val="en-US" w:eastAsia="zh-CN"/>
              </w:rPr>
              <w:t>4</w:t>
            </w:r>
            <w:r>
              <w:rPr>
                <w:rFonts w:ascii="Times New Roman" w:hAnsi="Times New Roman" w:eastAsia="宋体"/>
                <w:color w:val="auto"/>
                <w:sz w:val="24"/>
                <w:szCs w:val="24"/>
              </w:rPr>
              <w:t xml:space="preserve"> 本项目固体废物</w:t>
            </w:r>
            <w:r>
              <w:rPr>
                <w:rFonts w:hint="eastAsia" w:ascii="Times New Roman" w:hAnsi="Times New Roman" w:eastAsia="宋体"/>
                <w:color w:val="auto"/>
                <w:sz w:val="24"/>
                <w:szCs w:val="24"/>
              </w:rPr>
              <w:t>处置情况</w:t>
            </w:r>
          </w:p>
          <w:tbl>
            <w:tblPr>
              <w:tblStyle w:val="45"/>
              <w:tblW w:w="859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19"/>
              <w:gridCol w:w="2312"/>
              <w:gridCol w:w="52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19" w:type="dxa"/>
                  <w:tcBorders>
                    <w:tl2br w:val="nil"/>
                    <w:tr2bl w:val="nil"/>
                  </w:tcBorders>
                  <w:vAlign w:val="center"/>
                </w:tcPr>
                <w:p>
                  <w:pPr>
                    <w:pStyle w:val="41"/>
                    <w:spacing w:before="47" w:line="240" w:lineRule="auto"/>
                    <w:ind w:left="102" w:right="96"/>
                    <w:jc w:val="center"/>
                    <w:rPr>
                      <w:rFonts w:eastAsia="宋体"/>
                      <w:b/>
                      <w:bCs/>
                      <w:color w:val="auto"/>
                      <w:sz w:val="21"/>
                      <w:szCs w:val="21"/>
                      <w:lang w:eastAsia="en-US"/>
                    </w:rPr>
                  </w:pPr>
                  <w:r>
                    <w:rPr>
                      <w:rFonts w:eastAsia="宋体"/>
                      <w:b/>
                      <w:bCs/>
                      <w:color w:val="auto"/>
                      <w:sz w:val="21"/>
                      <w:szCs w:val="21"/>
                      <w:lang w:eastAsia="en-US"/>
                    </w:rPr>
                    <w:t>序号</w:t>
                  </w:r>
                </w:p>
              </w:tc>
              <w:tc>
                <w:tcPr>
                  <w:tcW w:w="2312" w:type="dxa"/>
                  <w:tcBorders>
                    <w:tl2br w:val="nil"/>
                    <w:tr2bl w:val="nil"/>
                  </w:tcBorders>
                  <w:vAlign w:val="center"/>
                </w:tcPr>
                <w:p>
                  <w:pPr>
                    <w:pStyle w:val="41"/>
                    <w:spacing w:before="47" w:line="240" w:lineRule="auto"/>
                    <w:ind w:left="125" w:right="120"/>
                    <w:jc w:val="center"/>
                    <w:rPr>
                      <w:rFonts w:eastAsia="宋体"/>
                      <w:b/>
                      <w:bCs/>
                      <w:color w:val="auto"/>
                      <w:sz w:val="21"/>
                      <w:szCs w:val="21"/>
                      <w:lang w:eastAsia="en-US"/>
                    </w:rPr>
                  </w:pPr>
                  <w:r>
                    <w:rPr>
                      <w:rFonts w:eastAsia="宋体"/>
                      <w:b/>
                      <w:bCs/>
                      <w:color w:val="auto"/>
                      <w:sz w:val="21"/>
                      <w:szCs w:val="21"/>
                      <w:lang w:eastAsia="en-US"/>
                    </w:rPr>
                    <w:t>固体废物名称</w:t>
                  </w:r>
                </w:p>
              </w:tc>
              <w:tc>
                <w:tcPr>
                  <w:tcW w:w="5262" w:type="dxa"/>
                  <w:tcBorders>
                    <w:tl2br w:val="nil"/>
                    <w:tr2bl w:val="nil"/>
                  </w:tcBorders>
                  <w:vAlign w:val="center"/>
                </w:tcPr>
                <w:p>
                  <w:pPr>
                    <w:pStyle w:val="41"/>
                    <w:spacing w:before="47" w:line="240" w:lineRule="auto"/>
                    <w:ind w:left="1333" w:right="1328"/>
                    <w:jc w:val="center"/>
                    <w:rPr>
                      <w:rFonts w:eastAsia="宋体"/>
                      <w:b/>
                      <w:bCs/>
                      <w:color w:val="auto"/>
                      <w:sz w:val="21"/>
                      <w:szCs w:val="21"/>
                      <w:lang w:eastAsia="en-US"/>
                    </w:rPr>
                  </w:pPr>
                  <w:r>
                    <w:rPr>
                      <w:rFonts w:eastAsia="宋体"/>
                      <w:b/>
                      <w:bCs/>
                      <w:color w:val="auto"/>
                      <w:sz w:val="21"/>
                      <w:szCs w:val="21"/>
                      <w:lang w:eastAsia="en-US"/>
                    </w:rPr>
                    <w:t>处置方式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19" w:type="dxa"/>
                  <w:tcBorders>
                    <w:tl2br w:val="nil"/>
                    <w:tr2bl w:val="nil"/>
                  </w:tcBorders>
                  <w:vAlign w:val="center"/>
                </w:tcPr>
                <w:p>
                  <w:pPr>
                    <w:pStyle w:val="41"/>
                    <w:spacing w:before="79" w:line="240" w:lineRule="auto"/>
                    <w:ind w:left="10"/>
                    <w:jc w:val="center"/>
                    <w:rPr>
                      <w:rFonts w:eastAsia="宋体"/>
                      <w:color w:val="auto"/>
                      <w:sz w:val="21"/>
                      <w:szCs w:val="21"/>
                      <w:lang w:eastAsia="en-US"/>
                    </w:rPr>
                  </w:pPr>
                  <w:r>
                    <w:rPr>
                      <w:rFonts w:eastAsia="宋体"/>
                      <w:color w:val="auto"/>
                      <w:w w:val="99"/>
                      <w:sz w:val="21"/>
                      <w:szCs w:val="21"/>
                      <w:lang w:eastAsia="en-US"/>
                    </w:rPr>
                    <w:t>1</w:t>
                  </w:r>
                </w:p>
              </w:tc>
              <w:tc>
                <w:tcPr>
                  <w:tcW w:w="2312" w:type="dxa"/>
                  <w:tcBorders>
                    <w:tl2br w:val="nil"/>
                    <w:tr2bl w:val="nil"/>
                  </w:tcBorders>
                  <w:vAlign w:val="center"/>
                </w:tcPr>
                <w:p>
                  <w:pPr>
                    <w:pStyle w:val="41"/>
                    <w:spacing w:before="77" w:line="240" w:lineRule="auto"/>
                    <w:ind w:left="125" w:right="118"/>
                    <w:jc w:val="center"/>
                    <w:rPr>
                      <w:rFonts w:eastAsia="宋体"/>
                      <w:color w:val="auto"/>
                      <w:sz w:val="21"/>
                      <w:szCs w:val="21"/>
                      <w:lang w:eastAsia="en-US"/>
                    </w:rPr>
                  </w:pPr>
                  <w:r>
                    <w:rPr>
                      <w:rFonts w:eastAsia="宋体"/>
                      <w:color w:val="auto"/>
                      <w:sz w:val="21"/>
                      <w:szCs w:val="21"/>
                      <w:lang w:eastAsia="en-US"/>
                    </w:rPr>
                    <w:t>污泥</w:t>
                  </w:r>
                </w:p>
              </w:tc>
              <w:tc>
                <w:tcPr>
                  <w:tcW w:w="5262" w:type="dxa"/>
                  <w:tcBorders>
                    <w:tl2br w:val="nil"/>
                    <w:tr2bl w:val="nil"/>
                  </w:tcBorders>
                  <w:vAlign w:val="center"/>
                </w:tcPr>
                <w:p>
                  <w:pPr>
                    <w:pStyle w:val="41"/>
                    <w:spacing w:before="6" w:line="240" w:lineRule="auto"/>
                    <w:jc w:val="center"/>
                    <w:rPr>
                      <w:rFonts w:eastAsia="宋体"/>
                      <w:color w:val="auto"/>
                      <w:sz w:val="21"/>
                      <w:szCs w:val="21"/>
                      <w:lang w:eastAsia="zh-CN"/>
                    </w:rPr>
                  </w:pPr>
                  <w:r>
                    <w:rPr>
                      <w:rFonts w:eastAsia="宋体"/>
                      <w:color w:val="auto"/>
                      <w:sz w:val="21"/>
                      <w:szCs w:val="21"/>
                      <w:lang w:eastAsia="zh-CN"/>
                    </w:rPr>
                    <w:t>收集后委托有资质的单位处置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19" w:type="dxa"/>
                  <w:tcBorders>
                    <w:tl2br w:val="nil"/>
                    <w:tr2bl w:val="nil"/>
                  </w:tcBorders>
                  <w:vAlign w:val="center"/>
                </w:tcPr>
                <w:p>
                  <w:pPr>
                    <w:pStyle w:val="41"/>
                    <w:spacing w:before="80" w:line="240" w:lineRule="auto"/>
                    <w:ind w:left="10"/>
                    <w:jc w:val="center"/>
                    <w:rPr>
                      <w:rFonts w:eastAsia="宋体"/>
                      <w:color w:val="auto"/>
                      <w:sz w:val="21"/>
                      <w:szCs w:val="21"/>
                      <w:lang w:eastAsia="en-US"/>
                    </w:rPr>
                  </w:pPr>
                  <w:r>
                    <w:rPr>
                      <w:rFonts w:eastAsia="宋体"/>
                      <w:color w:val="auto"/>
                      <w:w w:val="99"/>
                      <w:sz w:val="21"/>
                      <w:szCs w:val="21"/>
                      <w:lang w:eastAsia="en-US"/>
                    </w:rPr>
                    <w:t>2</w:t>
                  </w:r>
                </w:p>
              </w:tc>
              <w:tc>
                <w:tcPr>
                  <w:tcW w:w="2312" w:type="dxa"/>
                  <w:tcBorders>
                    <w:tl2br w:val="nil"/>
                    <w:tr2bl w:val="nil"/>
                  </w:tcBorders>
                  <w:vAlign w:val="center"/>
                </w:tcPr>
                <w:p>
                  <w:pPr>
                    <w:pStyle w:val="41"/>
                    <w:spacing w:before="78" w:line="240" w:lineRule="auto"/>
                    <w:ind w:left="125" w:right="118"/>
                    <w:jc w:val="center"/>
                    <w:rPr>
                      <w:rFonts w:eastAsia="宋体"/>
                      <w:color w:val="auto"/>
                      <w:sz w:val="21"/>
                      <w:szCs w:val="21"/>
                      <w:lang w:eastAsia="en-US"/>
                    </w:rPr>
                  </w:pPr>
                  <w:r>
                    <w:rPr>
                      <w:rFonts w:eastAsia="宋体"/>
                      <w:color w:val="auto"/>
                      <w:sz w:val="21"/>
                      <w:szCs w:val="21"/>
                      <w:lang w:eastAsia="en-US"/>
                    </w:rPr>
                    <w:t>栅渣及沉砂</w:t>
                  </w:r>
                </w:p>
              </w:tc>
              <w:tc>
                <w:tcPr>
                  <w:tcW w:w="5262" w:type="dxa"/>
                  <w:vMerge w:val="restart"/>
                  <w:tcBorders>
                    <w:tl2br w:val="nil"/>
                    <w:tr2bl w:val="nil"/>
                  </w:tcBorders>
                  <w:vAlign w:val="center"/>
                </w:tcPr>
                <w:p>
                  <w:pPr>
                    <w:pStyle w:val="41"/>
                    <w:spacing w:line="240" w:lineRule="auto"/>
                    <w:jc w:val="center"/>
                    <w:rPr>
                      <w:rFonts w:eastAsia="宋体"/>
                      <w:color w:val="auto"/>
                      <w:sz w:val="21"/>
                      <w:szCs w:val="21"/>
                      <w:lang w:eastAsia="zh-CN"/>
                    </w:rPr>
                  </w:pPr>
                  <w:r>
                    <w:rPr>
                      <w:rFonts w:eastAsia="宋体"/>
                      <w:color w:val="auto"/>
                      <w:sz w:val="21"/>
                      <w:szCs w:val="21"/>
                      <w:lang w:eastAsia="zh-CN"/>
                    </w:rPr>
                    <w:t>收集后委托环卫部门定期清运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19" w:type="dxa"/>
                  <w:tcBorders>
                    <w:tl2br w:val="nil"/>
                    <w:tr2bl w:val="nil"/>
                  </w:tcBorders>
                  <w:vAlign w:val="center"/>
                </w:tcPr>
                <w:p>
                  <w:pPr>
                    <w:pStyle w:val="41"/>
                    <w:spacing w:before="92" w:line="240" w:lineRule="auto"/>
                    <w:ind w:left="10"/>
                    <w:jc w:val="center"/>
                    <w:rPr>
                      <w:rFonts w:eastAsia="宋体"/>
                      <w:color w:val="auto"/>
                      <w:sz w:val="21"/>
                      <w:szCs w:val="21"/>
                      <w:lang w:eastAsia="en-US"/>
                    </w:rPr>
                  </w:pPr>
                  <w:r>
                    <w:rPr>
                      <w:rFonts w:eastAsia="宋体"/>
                      <w:color w:val="auto"/>
                      <w:w w:val="99"/>
                      <w:sz w:val="21"/>
                      <w:szCs w:val="21"/>
                      <w:lang w:eastAsia="en-US"/>
                    </w:rPr>
                    <w:t>3</w:t>
                  </w:r>
                </w:p>
              </w:tc>
              <w:tc>
                <w:tcPr>
                  <w:tcW w:w="2312" w:type="dxa"/>
                  <w:tcBorders>
                    <w:tl2br w:val="nil"/>
                    <w:tr2bl w:val="nil"/>
                  </w:tcBorders>
                  <w:vAlign w:val="center"/>
                </w:tcPr>
                <w:p>
                  <w:pPr>
                    <w:pStyle w:val="41"/>
                    <w:spacing w:before="78" w:line="240" w:lineRule="auto"/>
                    <w:ind w:left="125" w:right="118"/>
                    <w:jc w:val="center"/>
                    <w:rPr>
                      <w:rFonts w:eastAsia="宋体"/>
                      <w:color w:val="auto"/>
                      <w:sz w:val="21"/>
                      <w:szCs w:val="21"/>
                      <w:lang w:eastAsia="en-US"/>
                    </w:rPr>
                  </w:pPr>
                  <w:r>
                    <w:rPr>
                      <w:rFonts w:eastAsia="宋体"/>
                      <w:color w:val="auto"/>
                      <w:sz w:val="21"/>
                      <w:szCs w:val="21"/>
                      <w:lang w:eastAsia="en-US"/>
                    </w:rPr>
                    <w:t>生活垃圾</w:t>
                  </w:r>
                </w:p>
              </w:tc>
              <w:tc>
                <w:tcPr>
                  <w:tcW w:w="5262" w:type="dxa"/>
                  <w:vMerge w:val="continue"/>
                  <w:tcBorders>
                    <w:tl2br w:val="nil"/>
                    <w:tr2bl w:val="nil"/>
                  </w:tcBorders>
                  <w:vAlign w:val="center"/>
                </w:tcPr>
                <w:p>
                  <w:pPr>
                    <w:autoSpaceDE w:val="0"/>
                    <w:autoSpaceDN w:val="0"/>
                    <w:spacing w:line="240" w:lineRule="auto"/>
                    <w:jc w:val="center"/>
                    <w:rPr>
                      <w:rFonts w:ascii="Times New Roman" w:hAnsi="Times New Roman" w:eastAsia="宋体" w:cs="Times New Roman"/>
                      <w:color w:val="auto"/>
                      <w:kern w:val="0"/>
                      <w:sz w:val="21"/>
                      <w:szCs w:val="21"/>
                      <w:lang w:eastAsia="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19" w:type="dxa"/>
                  <w:tcBorders>
                    <w:tl2br w:val="nil"/>
                    <w:tr2bl w:val="nil"/>
                  </w:tcBorders>
                  <w:vAlign w:val="center"/>
                </w:tcPr>
                <w:p>
                  <w:pPr>
                    <w:pStyle w:val="41"/>
                    <w:spacing w:before="92" w:line="240" w:lineRule="auto"/>
                    <w:ind w:left="10"/>
                    <w:jc w:val="center"/>
                    <w:rPr>
                      <w:rFonts w:eastAsia="宋体"/>
                      <w:color w:val="auto"/>
                      <w:sz w:val="21"/>
                      <w:szCs w:val="21"/>
                      <w:lang w:eastAsia="en-US"/>
                    </w:rPr>
                  </w:pPr>
                  <w:r>
                    <w:rPr>
                      <w:rFonts w:eastAsia="宋体"/>
                      <w:color w:val="auto"/>
                      <w:w w:val="99"/>
                      <w:sz w:val="21"/>
                      <w:szCs w:val="21"/>
                      <w:lang w:eastAsia="en-US"/>
                    </w:rPr>
                    <w:t>4</w:t>
                  </w:r>
                </w:p>
              </w:tc>
              <w:tc>
                <w:tcPr>
                  <w:tcW w:w="2312" w:type="dxa"/>
                  <w:tcBorders>
                    <w:tl2br w:val="nil"/>
                    <w:tr2bl w:val="nil"/>
                  </w:tcBorders>
                  <w:vAlign w:val="center"/>
                </w:tcPr>
                <w:p>
                  <w:pPr>
                    <w:pStyle w:val="41"/>
                    <w:spacing w:before="78" w:line="240" w:lineRule="auto"/>
                    <w:ind w:left="125" w:right="118"/>
                    <w:jc w:val="center"/>
                    <w:rPr>
                      <w:rFonts w:eastAsia="宋体"/>
                      <w:color w:val="auto"/>
                      <w:sz w:val="21"/>
                      <w:szCs w:val="21"/>
                      <w:lang w:eastAsia="en-US"/>
                    </w:rPr>
                  </w:pPr>
                  <w:r>
                    <w:rPr>
                      <w:rFonts w:eastAsia="宋体"/>
                      <w:color w:val="auto"/>
                      <w:sz w:val="21"/>
                      <w:szCs w:val="21"/>
                      <w:lang w:eastAsia="en-US"/>
                    </w:rPr>
                    <w:t>废包装材料</w:t>
                  </w:r>
                </w:p>
              </w:tc>
              <w:tc>
                <w:tcPr>
                  <w:tcW w:w="5262" w:type="dxa"/>
                  <w:tcBorders>
                    <w:tl2br w:val="nil"/>
                    <w:tr2bl w:val="nil"/>
                  </w:tcBorders>
                  <w:vAlign w:val="center"/>
                </w:tcPr>
                <w:p>
                  <w:pPr>
                    <w:pStyle w:val="41"/>
                    <w:spacing w:line="240" w:lineRule="auto"/>
                    <w:jc w:val="center"/>
                    <w:rPr>
                      <w:rFonts w:eastAsia="宋体"/>
                      <w:color w:val="auto"/>
                      <w:sz w:val="21"/>
                      <w:szCs w:val="21"/>
                      <w:lang w:eastAsia="zh-CN"/>
                    </w:rPr>
                  </w:pPr>
                  <w:r>
                    <w:rPr>
                      <w:rFonts w:eastAsia="宋体"/>
                      <w:color w:val="auto"/>
                      <w:sz w:val="21"/>
                      <w:szCs w:val="21"/>
                      <w:lang w:eastAsia="zh-CN"/>
                    </w:rPr>
                    <w:t>收集后委托物资单位综合利用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19" w:type="dxa"/>
                  <w:tcBorders>
                    <w:tl2br w:val="nil"/>
                    <w:tr2bl w:val="nil"/>
                  </w:tcBorders>
                  <w:vAlign w:val="center"/>
                </w:tcPr>
                <w:p>
                  <w:pPr>
                    <w:pStyle w:val="41"/>
                    <w:spacing w:before="92" w:line="240" w:lineRule="auto"/>
                    <w:ind w:left="10"/>
                    <w:jc w:val="center"/>
                    <w:rPr>
                      <w:rFonts w:eastAsia="宋体"/>
                      <w:color w:val="auto"/>
                      <w:w w:val="99"/>
                      <w:sz w:val="21"/>
                      <w:szCs w:val="21"/>
                      <w:lang w:eastAsia="zh-CN"/>
                    </w:rPr>
                  </w:pPr>
                  <w:r>
                    <w:rPr>
                      <w:rFonts w:eastAsia="宋体"/>
                      <w:color w:val="auto"/>
                      <w:w w:val="99"/>
                      <w:sz w:val="21"/>
                      <w:szCs w:val="21"/>
                      <w:lang w:eastAsia="zh-CN"/>
                    </w:rPr>
                    <w:t>5</w:t>
                  </w:r>
                </w:p>
              </w:tc>
              <w:tc>
                <w:tcPr>
                  <w:tcW w:w="2312" w:type="dxa"/>
                  <w:tcBorders>
                    <w:tl2br w:val="nil"/>
                    <w:tr2bl w:val="nil"/>
                  </w:tcBorders>
                  <w:vAlign w:val="center"/>
                </w:tcPr>
                <w:p>
                  <w:pPr>
                    <w:pStyle w:val="41"/>
                    <w:spacing w:before="78" w:line="240" w:lineRule="auto"/>
                    <w:ind w:left="125" w:right="118"/>
                    <w:jc w:val="center"/>
                    <w:rPr>
                      <w:rFonts w:eastAsia="宋体"/>
                      <w:color w:val="auto"/>
                      <w:sz w:val="21"/>
                      <w:szCs w:val="21"/>
                      <w:lang w:eastAsia="zh-CN"/>
                    </w:rPr>
                  </w:pPr>
                  <w:r>
                    <w:rPr>
                      <w:rFonts w:eastAsia="宋体"/>
                      <w:color w:val="auto"/>
                      <w:sz w:val="21"/>
                      <w:szCs w:val="21"/>
                      <w:lang w:eastAsia="zh-CN"/>
                    </w:rPr>
                    <w:t>废机油</w:t>
                  </w:r>
                </w:p>
              </w:tc>
              <w:tc>
                <w:tcPr>
                  <w:tcW w:w="5262" w:type="dxa"/>
                  <w:vMerge w:val="restart"/>
                  <w:tcBorders>
                    <w:tl2br w:val="nil"/>
                    <w:tr2bl w:val="nil"/>
                  </w:tcBorders>
                  <w:vAlign w:val="center"/>
                </w:tcPr>
                <w:p>
                  <w:pPr>
                    <w:pStyle w:val="41"/>
                    <w:spacing w:line="240" w:lineRule="auto"/>
                    <w:jc w:val="center"/>
                    <w:rPr>
                      <w:rFonts w:eastAsia="宋体"/>
                      <w:color w:val="auto"/>
                      <w:sz w:val="21"/>
                      <w:szCs w:val="21"/>
                      <w:lang w:eastAsia="zh-CN"/>
                    </w:rPr>
                  </w:pPr>
                  <w:r>
                    <w:rPr>
                      <w:rFonts w:eastAsia="宋体"/>
                      <w:color w:val="auto"/>
                      <w:sz w:val="21"/>
                      <w:szCs w:val="21"/>
                      <w:lang w:eastAsia="zh-CN"/>
                    </w:rPr>
                    <w:t>危废暂存间暂存后委托有资质的单位处置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19" w:type="dxa"/>
                  <w:tcBorders>
                    <w:tl2br w:val="nil"/>
                    <w:tr2bl w:val="nil"/>
                  </w:tcBorders>
                  <w:vAlign w:val="center"/>
                </w:tcPr>
                <w:p>
                  <w:pPr>
                    <w:pStyle w:val="41"/>
                    <w:spacing w:before="92" w:line="240" w:lineRule="auto"/>
                    <w:ind w:left="10"/>
                    <w:jc w:val="center"/>
                    <w:rPr>
                      <w:rFonts w:eastAsia="宋体"/>
                      <w:color w:val="auto"/>
                      <w:w w:val="99"/>
                      <w:sz w:val="21"/>
                      <w:szCs w:val="21"/>
                      <w:lang w:eastAsia="zh-CN"/>
                    </w:rPr>
                  </w:pPr>
                  <w:r>
                    <w:rPr>
                      <w:rFonts w:eastAsia="宋体"/>
                      <w:color w:val="auto"/>
                      <w:w w:val="99"/>
                      <w:sz w:val="21"/>
                      <w:szCs w:val="21"/>
                      <w:lang w:eastAsia="zh-CN"/>
                    </w:rPr>
                    <w:t>6</w:t>
                  </w:r>
                </w:p>
              </w:tc>
              <w:tc>
                <w:tcPr>
                  <w:tcW w:w="2312" w:type="dxa"/>
                  <w:tcBorders>
                    <w:tl2br w:val="nil"/>
                    <w:tr2bl w:val="nil"/>
                  </w:tcBorders>
                  <w:vAlign w:val="center"/>
                </w:tcPr>
                <w:p>
                  <w:pPr>
                    <w:pStyle w:val="41"/>
                    <w:spacing w:before="78" w:line="240" w:lineRule="auto"/>
                    <w:ind w:left="125" w:right="118"/>
                    <w:jc w:val="center"/>
                    <w:rPr>
                      <w:rFonts w:eastAsia="宋体"/>
                      <w:color w:val="auto"/>
                      <w:sz w:val="21"/>
                      <w:szCs w:val="21"/>
                      <w:lang w:eastAsia="zh-CN"/>
                    </w:rPr>
                  </w:pPr>
                  <w:r>
                    <w:rPr>
                      <w:rFonts w:eastAsia="宋体"/>
                      <w:color w:val="auto"/>
                      <w:sz w:val="21"/>
                      <w:szCs w:val="21"/>
                      <w:lang w:eastAsia="zh-CN"/>
                    </w:rPr>
                    <w:t>废活性炭</w:t>
                  </w:r>
                </w:p>
              </w:tc>
              <w:tc>
                <w:tcPr>
                  <w:tcW w:w="5262" w:type="dxa"/>
                  <w:vMerge w:val="continue"/>
                  <w:tcBorders>
                    <w:tl2br w:val="nil"/>
                    <w:tr2bl w:val="nil"/>
                  </w:tcBorders>
                  <w:vAlign w:val="center"/>
                </w:tcPr>
                <w:p>
                  <w:pPr>
                    <w:pStyle w:val="41"/>
                    <w:spacing w:line="240" w:lineRule="auto"/>
                    <w:jc w:val="center"/>
                    <w:rPr>
                      <w:rFonts w:eastAsia="宋体"/>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19" w:type="dxa"/>
                  <w:tcBorders>
                    <w:tl2br w:val="nil"/>
                    <w:tr2bl w:val="nil"/>
                  </w:tcBorders>
                  <w:vAlign w:val="center"/>
                </w:tcPr>
                <w:p>
                  <w:pPr>
                    <w:pStyle w:val="41"/>
                    <w:spacing w:before="92" w:line="240" w:lineRule="auto"/>
                    <w:ind w:left="10" w:leftChars="0"/>
                    <w:jc w:val="center"/>
                    <w:rPr>
                      <w:rFonts w:eastAsia="宋体"/>
                      <w:color w:val="auto"/>
                      <w:w w:val="99"/>
                      <w:sz w:val="21"/>
                      <w:szCs w:val="21"/>
                      <w:lang w:eastAsia="zh-CN"/>
                    </w:rPr>
                  </w:pPr>
                  <w:r>
                    <w:rPr>
                      <w:rFonts w:eastAsia="宋体"/>
                      <w:color w:val="auto"/>
                      <w:w w:val="99"/>
                      <w:sz w:val="21"/>
                      <w:szCs w:val="21"/>
                      <w:lang w:eastAsia="zh-CN"/>
                    </w:rPr>
                    <w:t>7</w:t>
                  </w:r>
                </w:p>
              </w:tc>
              <w:tc>
                <w:tcPr>
                  <w:tcW w:w="2312" w:type="dxa"/>
                  <w:tcBorders>
                    <w:tl2br w:val="nil"/>
                    <w:tr2bl w:val="nil"/>
                  </w:tcBorders>
                  <w:vAlign w:val="center"/>
                </w:tcPr>
                <w:p>
                  <w:pPr>
                    <w:pStyle w:val="41"/>
                    <w:spacing w:before="78" w:line="240" w:lineRule="auto"/>
                    <w:ind w:left="125" w:leftChars="0" w:right="118" w:rightChars="0"/>
                    <w:jc w:val="center"/>
                    <w:rPr>
                      <w:rFonts w:eastAsia="宋体"/>
                      <w:color w:val="auto"/>
                      <w:sz w:val="21"/>
                      <w:szCs w:val="21"/>
                      <w:lang w:eastAsia="zh-CN"/>
                    </w:rPr>
                  </w:pPr>
                  <w:r>
                    <w:rPr>
                      <w:rFonts w:eastAsia="宋体"/>
                      <w:color w:val="auto"/>
                      <w:sz w:val="21"/>
                      <w:szCs w:val="21"/>
                      <w:lang w:eastAsia="zh-CN"/>
                    </w:rPr>
                    <w:t>废灯管</w:t>
                  </w:r>
                </w:p>
              </w:tc>
              <w:tc>
                <w:tcPr>
                  <w:tcW w:w="5262" w:type="dxa"/>
                  <w:vMerge w:val="continue"/>
                  <w:tcBorders>
                    <w:tl2br w:val="nil"/>
                    <w:tr2bl w:val="nil"/>
                  </w:tcBorders>
                  <w:vAlign w:val="center"/>
                </w:tcPr>
                <w:p>
                  <w:pPr>
                    <w:pStyle w:val="41"/>
                    <w:spacing w:line="240" w:lineRule="auto"/>
                    <w:jc w:val="center"/>
                    <w:rPr>
                      <w:rFonts w:eastAsia="宋体"/>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19" w:type="dxa"/>
                  <w:tcBorders>
                    <w:tl2br w:val="nil"/>
                    <w:tr2bl w:val="nil"/>
                  </w:tcBorders>
                  <w:vAlign w:val="center"/>
                </w:tcPr>
                <w:p>
                  <w:pPr>
                    <w:pStyle w:val="41"/>
                    <w:spacing w:before="92" w:line="240" w:lineRule="auto"/>
                    <w:ind w:left="10"/>
                    <w:jc w:val="center"/>
                    <w:rPr>
                      <w:rFonts w:eastAsia="宋体"/>
                      <w:color w:val="auto"/>
                      <w:w w:val="99"/>
                      <w:sz w:val="21"/>
                      <w:szCs w:val="21"/>
                      <w:lang w:eastAsia="zh-CN"/>
                    </w:rPr>
                  </w:pPr>
                  <w:r>
                    <w:rPr>
                      <w:rFonts w:hint="eastAsia" w:eastAsia="宋体"/>
                      <w:color w:val="auto"/>
                      <w:w w:val="99"/>
                      <w:sz w:val="21"/>
                      <w:szCs w:val="21"/>
                      <w:lang w:val="en-US" w:eastAsia="zh-CN"/>
                    </w:rPr>
                    <w:t>8</w:t>
                  </w:r>
                </w:p>
              </w:tc>
              <w:tc>
                <w:tcPr>
                  <w:tcW w:w="2312" w:type="dxa"/>
                  <w:tcBorders>
                    <w:tl2br w:val="nil"/>
                    <w:tr2bl w:val="nil"/>
                  </w:tcBorders>
                  <w:vAlign w:val="center"/>
                </w:tcPr>
                <w:p>
                  <w:pPr>
                    <w:pStyle w:val="41"/>
                    <w:spacing w:before="78" w:line="240" w:lineRule="auto"/>
                    <w:ind w:left="125" w:right="118"/>
                    <w:jc w:val="center"/>
                    <w:rPr>
                      <w:rFonts w:eastAsia="宋体"/>
                      <w:color w:val="auto"/>
                      <w:sz w:val="21"/>
                      <w:szCs w:val="21"/>
                      <w:lang w:eastAsia="zh-CN"/>
                    </w:rPr>
                  </w:pPr>
                  <w:r>
                    <w:rPr>
                      <w:rFonts w:hint="eastAsia" w:eastAsia="宋体"/>
                      <w:color w:val="auto"/>
                      <w:sz w:val="21"/>
                      <w:szCs w:val="21"/>
                      <w:lang w:val="en-US" w:eastAsia="zh-CN"/>
                    </w:rPr>
                    <w:t>化验药剂废包装</w:t>
                  </w:r>
                </w:p>
              </w:tc>
              <w:tc>
                <w:tcPr>
                  <w:tcW w:w="5262" w:type="dxa"/>
                  <w:vMerge w:val="continue"/>
                  <w:tcBorders>
                    <w:tl2br w:val="nil"/>
                    <w:tr2bl w:val="nil"/>
                  </w:tcBorders>
                  <w:vAlign w:val="center"/>
                </w:tcPr>
                <w:p>
                  <w:pPr>
                    <w:pStyle w:val="41"/>
                    <w:spacing w:line="240" w:lineRule="auto"/>
                    <w:jc w:val="center"/>
                    <w:rPr>
                      <w:rFonts w:eastAsia="宋体"/>
                      <w:color w:val="auto"/>
                      <w:sz w:val="21"/>
                      <w:szCs w:val="21"/>
                      <w:lang w:eastAsia="zh-CN"/>
                    </w:rPr>
                  </w:pPr>
                </w:p>
              </w:tc>
            </w:tr>
          </w:tbl>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4.8.</w:t>
            </w:r>
            <w:r>
              <w:rPr>
                <w:rFonts w:hint="eastAsia" w:ascii="Times New Roman" w:hAnsi="Times New Roman" w:eastAsia="宋体" w:cs="Times New Roman"/>
                <w:b/>
                <w:bCs/>
                <w:color w:val="auto"/>
                <w:kern w:val="0"/>
                <w:sz w:val="24"/>
                <w:szCs w:val="24"/>
                <w:lang w:val="en-US" w:eastAsia="zh-CN"/>
              </w:rPr>
              <w:t>2</w:t>
            </w:r>
            <w:r>
              <w:rPr>
                <w:rFonts w:ascii="Times New Roman" w:hAnsi="Times New Roman" w:eastAsia="宋体" w:cs="Times New Roman"/>
                <w:b/>
                <w:bCs/>
                <w:color w:val="auto"/>
                <w:kern w:val="0"/>
                <w:sz w:val="24"/>
                <w:szCs w:val="24"/>
              </w:rPr>
              <w:t>环境管理要求</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企业应根据《一般工业固体废物贮存、处置场污染物控制标准》</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GB18599-2020</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相关要求设置一般固废堆场</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约10m</w:t>
            </w:r>
            <w:r>
              <w:rPr>
                <w:rFonts w:hint="default" w:ascii="Times New Roman" w:hAnsi="Times New Roman" w:eastAsia="宋体" w:cs="Times New Roman"/>
                <w:color w:val="auto"/>
                <w:kern w:val="0"/>
                <w:sz w:val="24"/>
                <w:szCs w:val="24"/>
                <w:vertAlign w:val="superscript"/>
              </w:rPr>
              <w:t>2</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，将收集的固废暂存于一般固废堆场，定期按照本环评的处置方式进行处置，且需落实好一般固废台账。确保固废零排放，把对周边环境的影响降到最低。</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4.8.</w:t>
            </w:r>
            <w:r>
              <w:rPr>
                <w:rFonts w:hint="eastAsia" w:ascii="Times New Roman" w:hAnsi="Times New Roman" w:eastAsia="宋体" w:cs="Times New Roman"/>
                <w:b/>
                <w:bCs/>
                <w:color w:val="auto"/>
                <w:kern w:val="0"/>
                <w:sz w:val="24"/>
                <w:szCs w:val="24"/>
                <w:lang w:val="en-US" w:eastAsia="zh-CN"/>
              </w:rPr>
              <w:t>3</w:t>
            </w:r>
            <w:r>
              <w:rPr>
                <w:rFonts w:ascii="Times New Roman" w:hAnsi="Times New Roman" w:eastAsia="宋体" w:cs="Times New Roman"/>
                <w:b/>
                <w:bCs/>
                <w:color w:val="auto"/>
                <w:kern w:val="0"/>
                <w:sz w:val="24"/>
                <w:szCs w:val="24"/>
              </w:rPr>
              <w:t>危险废物管理要求</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本项目需新建危废暂存间面积约</w:t>
            </w:r>
            <w:r>
              <w:rPr>
                <w:rFonts w:hint="eastAsia" w:ascii="Times New Roman" w:hAnsi="Times New Roman" w:eastAsia="宋体" w:cs="Times New Roman"/>
                <w:color w:val="auto"/>
                <w:kern w:val="0"/>
                <w:sz w:val="24"/>
                <w:szCs w:val="24"/>
                <w:lang w:val="en-US" w:eastAsia="zh-CN"/>
              </w:rPr>
              <w:t>10</w:t>
            </w:r>
            <w:r>
              <w:rPr>
                <w:rFonts w:ascii="Times New Roman" w:hAnsi="Times New Roman" w:eastAsia="宋体" w:cs="Times New Roman"/>
                <w:color w:val="auto"/>
                <w:kern w:val="0"/>
                <w:sz w:val="24"/>
                <w:szCs w:val="24"/>
              </w:rPr>
              <w:t>m</w:t>
            </w:r>
            <w:r>
              <w:rPr>
                <w:rFonts w:ascii="Times New Roman" w:hAnsi="Times New Roman" w:eastAsia="宋体" w:cs="Times New Roman"/>
                <w:color w:val="auto"/>
                <w:kern w:val="0"/>
                <w:sz w:val="24"/>
                <w:szCs w:val="24"/>
                <w:vertAlign w:val="superscript"/>
              </w:rPr>
              <w:t>2</w:t>
            </w:r>
            <w:r>
              <w:rPr>
                <w:rFonts w:ascii="Times New Roman" w:hAnsi="Times New Roman" w:eastAsia="宋体" w:cs="Times New Roman"/>
                <w:color w:val="auto"/>
                <w:kern w:val="0"/>
                <w:sz w:val="24"/>
                <w:szCs w:val="24"/>
              </w:rPr>
              <w:t>，储存能力为</w:t>
            </w:r>
            <w:r>
              <w:rPr>
                <w:rFonts w:hint="eastAsia" w:ascii="Times New Roman" w:hAnsi="Times New Roman" w:eastAsia="宋体" w:cs="Times New Roman"/>
                <w:color w:val="auto"/>
                <w:kern w:val="0"/>
                <w:sz w:val="24"/>
                <w:szCs w:val="24"/>
                <w:lang w:val="en-US" w:eastAsia="zh-CN"/>
              </w:rPr>
              <w:t>4</w:t>
            </w:r>
            <w:r>
              <w:rPr>
                <w:rFonts w:ascii="Times New Roman" w:hAnsi="Times New Roman" w:eastAsia="宋体" w:cs="Times New Roman"/>
                <w:color w:val="auto"/>
                <w:kern w:val="0"/>
                <w:sz w:val="24"/>
                <w:szCs w:val="24"/>
              </w:rPr>
              <w:t>.0t/a，并设专人管理，门口设有警示标志。按照《危险废物贮存污染控制标准》进行建设，应满足以下要求：</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A</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危险废物贮存容器</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应当使用符合标准的容器盛装危险废物；</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装载危险废物的容器及材质要满足相应的强度要求；</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装载危险废物的容器必须完好无损；</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装载危险废物的容器材质和衬里要与危险废物相容（不相互反应）；</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⑤</w:t>
            </w:r>
            <w:r>
              <w:rPr>
                <w:rFonts w:ascii="Times New Roman" w:hAnsi="Times New Roman" w:eastAsia="宋体" w:cs="Times New Roman"/>
                <w:color w:val="auto"/>
                <w:kern w:val="0"/>
                <w:sz w:val="24"/>
                <w:szCs w:val="24"/>
              </w:rPr>
              <w:t>液体危险废物可注入开孔直径不超过 70mm 并有放气孔的桶中；</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⑥</w:t>
            </w:r>
            <w:r>
              <w:rPr>
                <w:rFonts w:ascii="Times New Roman" w:hAnsi="Times New Roman" w:eastAsia="宋体" w:cs="Times New Roman"/>
                <w:color w:val="auto"/>
                <w:kern w:val="0"/>
                <w:sz w:val="24"/>
                <w:szCs w:val="24"/>
              </w:rPr>
              <w:t>无法装入常用容器的危险废物可用防漏胶袋等盛装。</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B</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危险暂存间的建设及管理要求</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eastAsia="zh-CN"/>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危险废物堆放场所要“四防”（防风、防雨、防晒、防渗漏）</w:t>
            </w:r>
            <w:r>
              <w:rPr>
                <w:rFonts w:hint="eastAsia" w:ascii="Times New Roman" w:hAnsi="Times New Roman" w:eastAsia="宋体" w:cs="Times New Roman"/>
                <w:color w:val="auto"/>
                <w:kern w:val="0"/>
                <w:sz w:val="24"/>
                <w:szCs w:val="24"/>
                <w:lang w:eastAsia="zh-CN"/>
              </w:rPr>
              <w:t>；</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地面硬化，并铺设2mm厚高密度聚乙烯，或至少2mm厚</w:t>
            </w:r>
            <w:r>
              <w:rPr>
                <w:rFonts w:hint="eastAsia" w:ascii="Times New Roman" w:hAnsi="Times New Roman" w:eastAsia="宋体" w:cs="Times New Roman"/>
                <w:color w:val="auto"/>
                <w:kern w:val="0"/>
                <w:sz w:val="24"/>
                <w:szCs w:val="24"/>
                <w:lang w:eastAsia="zh-CN"/>
              </w:rPr>
              <w:t>的其他</w:t>
            </w:r>
            <w:r>
              <w:rPr>
                <w:rFonts w:ascii="Times New Roman" w:hAnsi="Times New Roman" w:eastAsia="宋体" w:cs="Times New Roman"/>
                <w:color w:val="auto"/>
                <w:kern w:val="0"/>
                <w:sz w:val="24"/>
                <w:szCs w:val="24"/>
              </w:rPr>
              <w:t>人工材料（渗透系数≤10</w:t>
            </w:r>
            <w:r>
              <w:rPr>
                <w:rFonts w:ascii="Times New Roman" w:hAnsi="Times New Roman" w:eastAsia="宋体" w:cs="Times New Roman"/>
                <w:color w:val="auto"/>
                <w:kern w:val="0"/>
                <w:sz w:val="24"/>
                <w:szCs w:val="24"/>
                <w:vertAlign w:val="superscript"/>
              </w:rPr>
              <w:t>-10</w:t>
            </w:r>
            <w:r>
              <w:rPr>
                <w:rFonts w:ascii="Times New Roman" w:hAnsi="Times New Roman" w:eastAsia="宋体" w:cs="Times New Roman"/>
                <w:color w:val="auto"/>
                <w:kern w:val="0"/>
                <w:sz w:val="24"/>
                <w:szCs w:val="24"/>
              </w:rPr>
              <w:t>cm/s）；地面与裙角要用坚固、防渗的材料建造，建筑材料必须与危险废物相容；</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危废暂存间设有</w:t>
            </w:r>
            <w:r>
              <w:rPr>
                <w:rFonts w:hint="eastAsia" w:ascii="Times New Roman" w:hAnsi="Times New Roman" w:eastAsia="宋体" w:cs="Times New Roman"/>
                <w:color w:val="auto"/>
                <w:kern w:val="0"/>
                <w:sz w:val="24"/>
                <w:szCs w:val="24"/>
                <w:lang w:eastAsia="zh-CN"/>
              </w:rPr>
              <w:t>泄漏液体</w:t>
            </w:r>
            <w:r>
              <w:rPr>
                <w:rFonts w:ascii="Times New Roman" w:hAnsi="Times New Roman" w:eastAsia="宋体" w:cs="Times New Roman"/>
                <w:color w:val="auto"/>
                <w:kern w:val="0"/>
                <w:sz w:val="24"/>
                <w:szCs w:val="24"/>
              </w:rPr>
              <w:t>收集装置；并设</w:t>
            </w:r>
            <w:r>
              <w:rPr>
                <w:rFonts w:hint="eastAsia" w:ascii="Times New Roman" w:hAnsi="Times New Roman" w:eastAsia="宋体" w:cs="Times New Roman"/>
                <w:color w:val="auto"/>
                <w:kern w:val="0"/>
                <w:sz w:val="24"/>
                <w:szCs w:val="24"/>
                <w:lang w:eastAsia="zh-CN"/>
              </w:rPr>
              <w:t>有</w:t>
            </w:r>
            <w:r>
              <w:rPr>
                <w:rFonts w:ascii="Times New Roman" w:hAnsi="Times New Roman" w:eastAsia="宋体" w:cs="Times New Roman"/>
                <w:color w:val="auto"/>
                <w:kern w:val="0"/>
                <w:sz w:val="24"/>
                <w:szCs w:val="24"/>
              </w:rPr>
              <w:t>安全照明设施和观察窗口；</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用以存放装载液体、半固态危险废物容器的地方，必有耐腐蚀的硬化地面，且表面无裂缝；</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⑤</w:t>
            </w:r>
            <w:r>
              <w:rPr>
                <w:rFonts w:ascii="Times New Roman" w:hAnsi="Times New Roman" w:eastAsia="宋体" w:cs="Times New Roman"/>
                <w:color w:val="auto"/>
                <w:kern w:val="0"/>
                <w:sz w:val="24"/>
                <w:szCs w:val="24"/>
              </w:rPr>
              <w:t>危废暂存间设置裙脚，地面与裙脚所围建的容积不低于堵截最大容器的最大储量或总量的1/5；</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⑥</w:t>
            </w:r>
            <w:r>
              <w:rPr>
                <w:rFonts w:ascii="Times New Roman" w:hAnsi="Times New Roman" w:eastAsia="宋体" w:cs="Times New Roman"/>
                <w:color w:val="auto"/>
                <w:kern w:val="0"/>
                <w:sz w:val="24"/>
                <w:szCs w:val="24"/>
              </w:rPr>
              <w:t>建设于显眼处警示标识；</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⑦</w:t>
            </w:r>
            <w:r>
              <w:rPr>
                <w:rFonts w:ascii="Times New Roman" w:hAnsi="Times New Roman" w:eastAsia="宋体" w:cs="Times New Roman"/>
                <w:color w:val="auto"/>
                <w:kern w:val="0"/>
                <w:sz w:val="24"/>
                <w:szCs w:val="24"/>
              </w:rPr>
              <w:t>危废暂存间建设过程中，应保留建设工程照片、文件等资料。</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C</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危险废物的存放要求</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不相容的危险废物必须分开存放，并设隔离间隔断；</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危险废物要放入符合标准的容器内，加上标签；</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贮存设施应封闭，以防尘、防日晒；</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严格按照《危险废物贮存污染控制标准》（GB18597-2001）执行；</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⑤</w:t>
            </w:r>
            <w:r>
              <w:rPr>
                <w:rFonts w:ascii="Times New Roman" w:hAnsi="Times New Roman" w:eastAsia="宋体" w:cs="Times New Roman"/>
                <w:color w:val="auto"/>
                <w:kern w:val="0"/>
                <w:sz w:val="24"/>
                <w:szCs w:val="24"/>
              </w:rPr>
              <w:t>必须定期对所贮存的危险废物包装容器及贮存设施进行检查，发现破损，应及时采取措施清理更换。</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D</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危险废物的转运及台账管理要求</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危险废物应及时转运，废物的转运过程中应装入高密度聚乙烯袋子并封闭，由专人负责运送，以防散落，转运车辆应</w:t>
            </w:r>
            <w:r>
              <w:rPr>
                <w:rFonts w:hint="eastAsia" w:ascii="Times New Roman" w:hAnsi="Times New Roman" w:eastAsia="宋体" w:cs="Times New Roman"/>
                <w:color w:val="auto"/>
                <w:kern w:val="0"/>
                <w:sz w:val="24"/>
                <w:szCs w:val="24"/>
                <w:lang w:eastAsia="zh-CN"/>
              </w:rPr>
              <w:t>加盖篷布</w:t>
            </w:r>
            <w:r>
              <w:rPr>
                <w:rFonts w:ascii="Times New Roman" w:hAnsi="Times New Roman" w:eastAsia="宋体" w:cs="Times New Roman"/>
                <w:color w:val="auto"/>
                <w:kern w:val="0"/>
                <w:sz w:val="24"/>
                <w:szCs w:val="24"/>
              </w:rPr>
              <w:t>，以防散入路面；</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必须</w:t>
            </w:r>
            <w:r>
              <w:rPr>
                <w:rFonts w:hint="eastAsia" w:ascii="Times New Roman" w:hAnsi="Times New Roman" w:eastAsia="宋体" w:cs="Times New Roman"/>
                <w:color w:val="auto"/>
                <w:kern w:val="0"/>
                <w:sz w:val="24"/>
                <w:szCs w:val="24"/>
                <w:lang w:eastAsia="zh-CN"/>
              </w:rPr>
              <w:t>做好</w:t>
            </w:r>
            <w:r>
              <w:rPr>
                <w:rFonts w:ascii="Times New Roman" w:hAnsi="Times New Roman" w:eastAsia="宋体" w:cs="Times New Roman"/>
                <w:color w:val="auto"/>
                <w:kern w:val="0"/>
                <w:sz w:val="24"/>
                <w:szCs w:val="24"/>
              </w:rPr>
              <w:t>危险废物记录，记录上须注明危险废物的名称、来源、数量、特性和包装容器的类别、入库日期、存放库位、废物出库日期及接收单位名称。危险废物的记录和货单在危险废物回取后应继续保留三年；</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w:t>
            </w:r>
            <w:r>
              <w:rPr>
                <w:rFonts w:hint="eastAsia" w:ascii="Times New Roman" w:hAnsi="Times New Roman" w:eastAsia="宋体" w:cs="Times New Roman"/>
                <w:color w:val="auto"/>
                <w:kern w:val="0"/>
                <w:sz w:val="24"/>
                <w:szCs w:val="24"/>
                <w:lang w:eastAsia="zh-CN"/>
              </w:rPr>
              <w:t>接受的环境</w:t>
            </w:r>
            <w:r>
              <w:rPr>
                <w:rFonts w:ascii="Times New Roman" w:hAnsi="Times New Roman" w:eastAsia="宋体" w:cs="Times New Roman"/>
                <w:color w:val="auto"/>
                <w:kern w:val="0"/>
                <w:sz w:val="24"/>
                <w:szCs w:val="24"/>
              </w:rPr>
              <w:t>保护行政主管部门；</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公司产生的危废均应符合《环境保护图形标志—固体废物贮存（处置场）》（GB15562.2-1995）、《危险废物贮存污染控制标准》（GB18597-2001）等规定要求。</w:t>
            </w:r>
          </w:p>
          <w:p>
            <w:pPr>
              <w:pStyle w:val="21"/>
              <w:adjustRightInd w:val="0"/>
              <w:snapToGrid w:val="0"/>
              <w:ind w:firstLine="0" w:firstLineChars="0"/>
              <w:jc w:val="center"/>
              <w:rPr>
                <w:rFonts w:ascii="Times New Roman" w:hAnsi="Times New Roman" w:eastAsia="宋体" w:cs="Times New Roman"/>
                <w:color w:val="auto"/>
              </w:rPr>
            </w:pPr>
            <w:r>
              <w:rPr>
                <w:rFonts w:ascii="Times New Roman" w:hAnsi="Times New Roman" w:cs="Times New Roman"/>
                <w:color w:val="auto"/>
              </w:rPr>
              <w:drawing>
                <wp:inline distT="0" distB="0" distL="0" distR="0">
                  <wp:extent cx="1966595" cy="17424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66595" cy="1742440"/>
                          </a:xfrm>
                          <a:prstGeom prst="rect">
                            <a:avLst/>
                          </a:prstGeom>
                          <a:noFill/>
                          <a:ln>
                            <a:noFill/>
                          </a:ln>
                        </pic:spPr>
                      </pic:pic>
                    </a:graphicData>
                  </a:graphic>
                </wp:inline>
              </w:drawing>
            </w:r>
            <w:r>
              <w:rPr>
                <w:rFonts w:ascii="Times New Roman" w:hAnsi="Times New Roman" w:cs="Times New Roman"/>
                <w:color w:val="auto"/>
              </w:rPr>
              <w:t xml:space="preserve">   </w:t>
            </w:r>
            <w:r>
              <w:rPr>
                <w:rFonts w:ascii="Times New Roman" w:hAnsi="Times New Roman" w:cs="Times New Roman"/>
                <w:color w:val="auto"/>
              </w:rPr>
              <w:drawing>
                <wp:inline distT="0" distB="0" distL="0" distR="0">
                  <wp:extent cx="2846705" cy="1759585"/>
                  <wp:effectExtent l="0" t="0" r="0" b="0"/>
                  <wp:docPr id="2" name="图片 2" descr="说明: 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未标题-2"/>
                          <pic:cNvPicPr>
                            <a:picLocks noChangeAspect="1" noChangeArrowheads="1"/>
                          </pic:cNvPicPr>
                        </pic:nvPicPr>
                        <pic:blipFill>
                          <a:blip r:embed="rId19" cstate="print">
                            <a:lum contrast="42000"/>
                            <a:extLst>
                              <a:ext uri="{28A0092B-C50C-407E-A947-70E740481C1C}">
                                <a14:useLocalDpi xmlns:a14="http://schemas.microsoft.com/office/drawing/2010/main" val="0"/>
                              </a:ext>
                            </a:extLst>
                          </a:blip>
                          <a:srcRect/>
                          <a:stretch>
                            <a:fillRect/>
                          </a:stretch>
                        </pic:blipFill>
                        <pic:spPr>
                          <a:xfrm>
                            <a:off x="0" y="0"/>
                            <a:ext cx="2846705" cy="1759585"/>
                          </a:xfrm>
                          <a:prstGeom prst="rect">
                            <a:avLst/>
                          </a:prstGeom>
                          <a:noFill/>
                          <a:ln>
                            <a:noFill/>
                          </a:ln>
                        </pic:spPr>
                      </pic:pic>
                    </a:graphicData>
                  </a:graphic>
                </wp:inline>
              </w:drawing>
            </w:r>
          </w:p>
          <w:p>
            <w:pPr>
              <w:pStyle w:val="7"/>
              <w:adjustRightInd w:val="0"/>
              <w:snapToGrid w:val="0"/>
              <w:ind w:left="0" w:leftChars="0" w:right="0" w:rightChars="0" w:firstLine="0" w:firstLineChars="0"/>
              <w:jc w:val="center"/>
              <w:textAlignment w:val="baseline"/>
              <w:rPr>
                <w:b/>
                <w:bCs/>
                <w:color w:val="auto"/>
                <w:szCs w:val="15"/>
              </w:rPr>
            </w:pPr>
            <w:r>
              <w:rPr>
                <w:b/>
                <w:bCs/>
                <w:color w:val="auto"/>
                <w:szCs w:val="15"/>
              </w:rPr>
              <w:t xml:space="preserve">危废暂存间标志牌                          </w:t>
            </w:r>
            <w:r>
              <w:rPr>
                <w:b/>
                <w:bCs/>
                <w:color w:val="auto"/>
                <w:szCs w:val="21"/>
              </w:rPr>
              <w:t>危废包装容器标签</w:t>
            </w:r>
          </w:p>
          <w:p>
            <w:pPr>
              <w:pStyle w:val="7"/>
              <w:adjustRightInd w:val="0"/>
              <w:snapToGrid w:val="0"/>
              <w:spacing w:before="156" w:beforeLines="50" w:line="360" w:lineRule="auto"/>
              <w:ind w:firstLine="480"/>
              <w:textAlignment w:val="baseline"/>
              <w:rPr>
                <w:color w:val="auto"/>
                <w:sz w:val="24"/>
              </w:rPr>
            </w:pPr>
            <w:r>
              <w:rPr>
                <w:color w:val="auto"/>
                <w:sz w:val="24"/>
              </w:rPr>
              <w:t>危废暂存场所的基本情况如下表：</w:t>
            </w:r>
          </w:p>
          <w:p>
            <w:pPr>
              <w:pStyle w:val="35"/>
              <w:spacing w:line="240" w:lineRule="auto"/>
              <w:rPr>
                <w:rFonts w:ascii="Times New Roman" w:hAnsi="Times New Roman"/>
                <w:color w:val="auto"/>
                <w:kern w:val="0"/>
                <w:sz w:val="24"/>
                <w:szCs w:val="24"/>
              </w:rPr>
            </w:pPr>
            <w:r>
              <w:rPr>
                <w:rFonts w:ascii="Times New Roman" w:hAnsi="Times New Roman" w:eastAsia="宋体"/>
                <w:color w:val="auto"/>
                <w:sz w:val="24"/>
                <w:szCs w:val="24"/>
              </w:rPr>
              <w:t>表</w:t>
            </w:r>
            <w:r>
              <w:rPr>
                <w:rFonts w:ascii="Times New Roman" w:hAnsi="Times New Roman"/>
                <w:color w:val="auto"/>
                <w:sz w:val="24"/>
                <w:szCs w:val="24"/>
              </w:rPr>
              <w:t>4-1</w:t>
            </w:r>
            <w:r>
              <w:rPr>
                <w:rFonts w:hint="eastAsia" w:ascii="Times New Roman" w:hAnsi="Times New Roman" w:eastAsia="宋体"/>
                <w:color w:val="auto"/>
                <w:sz w:val="24"/>
                <w:szCs w:val="24"/>
                <w:lang w:val="en-US" w:eastAsia="zh-CN"/>
              </w:rPr>
              <w:t>5</w:t>
            </w:r>
            <w:r>
              <w:rPr>
                <w:rFonts w:ascii="Times New Roman" w:hAnsi="Times New Roman"/>
                <w:color w:val="auto"/>
                <w:sz w:val="24"/>
                <w:szCs w:val="24"/>
              </w:rPr>
              <w:t xml:space="preserve">   </w:t>
            </w:r>
            <w:r>
              <w:rPr>
                <w:rFonts w:ascii="Times New Roman" w:hAnsi="Times New Roman" w:eastAsia="宋体"/>
                <w:color w:val="auto"/>
                <w:sz w:val="24"/>
                <w:szCs w:val="24"/>
              </w:rPr>
              <w:t>建设项目危险废物贮存场所（设施）基本情况表</w:t>
            </w:r>
          </w:p>
          <w:tbl>
            <w:tblPr>
              <w:tblStyle w:val="24"/>
              <w:tblW w:w="85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517"/>
              <w:gridCol w:w="813"/>
              <w:gridCol w:w="1011"/>
              <w:gridCol w:w="935"/>
              <w:gridCol w:w="1216"/>
              <w:gridCol w:w="741"/>
              <w:gridCol w:w="695"/>
              <w:gridCol w:w="1269"/>
              <w:gridCol w:w="695"/>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jc w:val="center"/>
              </w:trPr>
              <w:tc>
                <w:tcPr>
                  <w:tcW w:w="517" w:type="dxa"/>
                  <w:tcBorders>
                    <w:tl2br w:val="nil"/>
                    <w:tr2bl w:val="nil"/>
                  </w:tcBorders>
                  <w:vAlign w:val="center"/>
                </w:tcPr>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序号</w:t>
                  </w:r>
                </w:p>
              </w:tc>
              <w:tc>
                <w:tcPr>
                  <w:tcW w:w="813" w:type="dxa"/>
                  <w:tcBorders>
                    <w:tl2br w:val="nil"/>
                    <w:tr2bl w:val="nil"/>
                  </w:tcBorders>
                  <w:vAlign w:val="center"/>
                </w:tcPr>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贮存场所名称</w:t>
                  </w:r>
                </w:p>
              </w:tc>
              <w:tc>
                <w:tcPr>
                  <w:tcW w:w="1011" w:type="dxa"/>
                  <w:tcBorders>
                    <w:tl2br w:val="nil"/>
                    <w:tr2bl w:val="nil"/>
                  </w:tcBorders>
                  <w:vAlign w:val="center"/>
                </w:tcPr>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危险废物名称</w:t>
                  </w:r>
                </w:p>
              </w:tc>
              <w:tc>
                <w:tcPr>
                  <w:tcW w:w="935" w:type="dxa"/>
                  <w:tcBorders>
                    <w:tl2br w:val="nil"/>
                    <w:tr2bl w:val="nil"/>
                  </w:tcBorders>
                  <w:vAlign w:val="center"/>
                </w:tcPr>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危险废物类别</w:t>
                  </w:r>
                </w:p>
              </w:tc>
              <w:tc>
                <w:tcPr>
                  <w:tcW w:w="1216" w:type="dxa"/>
                  <w:tcBorders>
                    <w:tl2br w:val="nil"/>
                    <w:tr2bl w:val="nil"/>
                  </w:tcBorders>
                  <w:vAlign w:val="center"/>
                </w:tcPr>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危险废物代码</w:t>
                  </w:r>
                </w:p>
              </w:tc>
              <w:tc>
                <w:tcPr>
                  <w:tcW w:w="741" w:type="dxa"/>
                  <w:tcBorders>
                    <w:tl2br w:val="nil"/>
                    <w:tr2bl w:val="nil"/>
                  </w:tcBorders>
                  <w:vAlign w:val="center"/>
                </w:tcPr>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位置</w:t>
                  </w:r>
                </w:p>
              </w:tc>
              <w:tc>
                <w:tcPr>
                  <w:tcW w:w="695" w:type="dxa"/>
                  <w:tcBorders>
                    <w:tl2br w:val="nil"/>
                    <w:tr2bl w:val="nil"/>
                  </w:tcBorders>
                  <w:vAlign w:val="center"/>
                </w:tcPr>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占地面积</w:t>
                  </w:r>
                </w:p>
              </w:tc>
              <w:tc>
                <w:tcPr>
                  <w:tcW w:w="1269" w:type="dxa"/>
                  <w:tcBorders>
                    <w:tl2br w:val="nil"/>
                    <w:tr2bl w:val="nil"/>
                  </w:tcBorders>
                  <w:vAlign w:val="center"/>
                </w:tcPr>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贮存</w:t>
                  </w:r>
                </w:p>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方式</w:t>
                  </w:r>
                </w:p>
              </w:tc>
              <w:tc>
                <w:tcPr>
                  <w:tcW w:w="695" w:type="dxa"/>
                  <w:tcBorders>
                    <w:tl2br w:val="nil"/>
                    <w:tr2bl w:val="nil"/>
                  </w:tcBorders>
                  <w:vAlign w:val="center"/>
                </w:tcPr>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贮存</w:t>
                  </w:r>
                </w:p>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能力</w:t>
                  </w:r>
                </w:p>
              </w:tc>
              <w:tc>
                <w:tcPr>
                  <w:tcW w:w="696" w:type="dxa"/>
                  <w:tcBorders>
                    <w:tl2br w:val="nil"/>
                    <w:tr2bl w:val="nil"/>
                  </w:tcBorders>
                  <w:vAlign w:val="center"/>
                </w:tcPr>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贮存</w:t>
                  </w:r>
                </w:p>
                <w:p>
                  <w:pPr>
                    <w:topLinePunct/>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jc w:val="center"/>
              </w:trPr>
              <w:tc>
                <w:tcPr>
                  <w:tcW w:w="517" w:type="dxa"/>
                  <w:tcBorders>
                    <w:tl2br w:val="nil"/>
                    <w:tr2bl w:val="nil"/>
                  </w:tcBorders>
                  <w:vAlign w:val="center"/>
                </w:tcPr>
                <w:p>
                  <w:pPr>
                    <w:topLinePunct/>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813" w:type="dxa"/>
                  <w:vMerge w:val="restart"/>
                  <w:tcBorders>
                    <w:tl2br w:val="nil"/>
                    <w:tr2bl w:val="nil"/>
                  </w:tcBorders>
                  <w:vAlign w:val="center"/>
                </w:tcPr>
                <w:p>
                  <w:pPr>
                    <w:topLinePunct/>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危废暂存间</w:t>
                  </w:r>
                </w:p>
              </w:tc>
              <w:tc>
                <w:tcPr>
                  <w:tcW w:w="1011" w:type="dxa"/>
                  <w:tcBorders>
                    <w:tl2br w:val="nil"/>
                    <w:tr2bl w:val="nil"/>
                  </w:tcBorders>
                  <w:vAlign w:val="center"/>
                </w:tcPr>
                <w:p>
                  <w:pPr>
                    <w:tabs>
                      <w:tab w:val="left" w:pos="7470"/>
                    </w:tabs>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废机油</w:t>
                  </w:r>
                </w:p>
              </w:tc>
              <w:tc>
                <w:tcPr>
                  <w:tcW w:w="935"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HW08</w:t>
                  </w:r>
                </w:p>
              </w:tc>
              <w:tc>
                <w:tcPr>
                  <w:tcW w:w="1216"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900-214-08</w:t>
                  </w:r>
                </w:p>
              </w:tc>
              <w:tc>
                <w:tcPr>
                  <w:tcW w:w="741" w:type="dxa"/>
                  <w:vMerge w:val="restart"/>
                  <w:tcBorders>
                    <w:tl2br w:val="nil"/>
                    <w:tr2bl w:val="nil"/>
                  </w:tcBorders>
                  <w:vAlign w:val="center"/>
                </w:tcPr>
                <w:p>
                  <w:pPr>
                    <w:topLinePunct/>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厂区</w:t>
                  </w:r>
                </w:p>
                <w:p>
                  <w:pPr>
                    <w:topLinePunct/>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南</w:t>
                  </w:r>
                  <w:r>
                    <w:rPr>
                      <w:rFonts w:ascii="Times New Roman" w:hAnsi="Times New Roman" w:eastAsia="宋体" w:cs="Times New Roman"/>
                      <w:color w:val="auto"/>
                      <w:szCs w:val="21"/>
                    </w:rPr>
                    <w:t>侧</w:t>
                  </w:r>
                </w:p>
              </w:tc>
              <w:tc>
                <w:tcPr>
                  <w:tcW w:w="695" w:type="dxa"/>
                  <w:vMerge w:val="restart"/>
                  <w:tcBorders>
                    <w:tl2br w:val="nil"/>
                    <w:tr2bl w:val="nil"/>
                  </w:tcBorders>
                  <w:vAlign w:val="center"/>
                </w:tcPr>
                <w:p>
                  <w:pPr>
                    <w:topLinePunct/>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10</w:t>
                  </w:r>
                  <w:r>
                    <w:rPr>
                      <w:rFonts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2</w:t>
                  </w:r>
                </w:p>
              </w:tc>
              <w:tc>
                <w:tcPr>
                  <w:tcW w:w="1269" w:type="dxa"/>
                  <w:vMerge w:val="restart"/>
                  <w:tcBorders>
                    <w:tl2br w:val="nil"/>
                    <w:tr2bl w:val="nil"/>
                  </w:tcBorders>
                  <w:vAlign w:val="center"/>
                </w:tcPr>
                <w:p>
                  <w:pPr>
                    <w:topLinePunct/>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置于密封带盖容器内</w:t>
                  </w:r>
                </w:p>
              </w:tc>
              <w:tc>
                <w:tcPr>
                  <w:tcW w:w="695" w:type="dxa"/>
                  <w:vMerge w:val="restart"/>
                  <w:tcBorders>
                    <w:tl2br w:val="nil"/>
                    <w:tr2bl w:val="nil"/>
                  </w:tcBorders>
                  <w:vAlign w:val="center"/>
                </w:tcPr>
                <w:p>
                  <w:pPr>
                    <w:topLinePunct/>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4</w:t>
                  </w:r>
                  <w:r>
                    <w:rPr>
                      <w:rFonts w:ascii="Times New Roman" w:hAnsi="Times New Roman" w:eastAsia="宋体" w:cs="Times New Roman"/>
                      <w:color w:val="auto"/>
                      <w:szCs w:val="21"/>
                    </w:rPr>
                    <w:t>.0t</w:t>
                  </w:r>
                </w:p>
              </w:tc>
              <w:tc>
                <w:tcPr>
                  <w:tcW w:w="696" w:type="dxa"/>
                  <w:vMerge w:val="restart"/>
                  <w:tcBorders>
                    <w:tl2br w:val="nil"/>
                    <w:tr2bl w:val="nil"/>
                  </w:tcBorders>
                  <w:vAlign w:val="center"/>
                </w:tcPr>
                <w:p>
                  <w:pPr>
                    <w:topLinePunct/>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jc w:val="center"/>
              </w:trPr>
              <w:tc>
                <w:tcPr>
                  <w:tcW w:w="517" w:type="dxa"/>
                  <w:tcBorders>
                    <w:tl2br w:val="nil"/>
                    <w:tr2bl w:val="nil"/>
                  </w:tcBorders>
                  <w:vAlign w:val="center"/>
                </w:tcPr>
                <w:p>
                  <w:pPr>
                    <w:topLinePunct/>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813"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1011" w:type="dxa"/>
                  <w:tcBorders>
                    <w:tl2br w:val="nil"/>
                    <w:tr2bl w:val="nil"/>
                  </w:tcBorders>
                  <w:vAlign w:val="center"/>
                </w:tcPr>
                <w:p>
                  <w:pPr>
                    <w:tabs>
                      <w:tab w:val="left" w:pos="7470"/>
                    </w:tabs>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废活性炭</w:t>
                  </w:r>
                </w:p>
              </w:tc>
              <w:tc>
                <w:tcPr>
                  <w:tcW w:w="935"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HW49</w:t>
                  </w:r>
                </w:p>
              </w:tc>
              <w:tc>
                <w:tcPr>
                  <w:tcW w:w="1216"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900-041-49</w:t>
                  </w:r>
                </w:p>
              </w:tc>
              <w:tc>
                <w:tcPr>
                  <w:tcW w:w="741"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695"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1269"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695"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696"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jc w:val="center"/>
              </w:trPr>
              <w:tc>
                <w:tcPr>
                  <w:tcW w:w="517" w:type="dxa"/>
                  <w:tcBorders>
                    <w:tl2br w:val="nil"/>
                    <w:tr2bl w:val="nil"/>
                  </w:tcBorders>
                  <w:vAlign w:val="center"/>
                </w:tcPr>
                <w:p>
                  <w:pPr>
                    <w:topLinePunct/>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3</w:t>
                  </w:r>
                </w:p>
              </w:tc>
              <w:tc>
                <w:tcPr>
                  <w:tcW w:w="813"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1011" w:type="dxa"/>
                  <w:tcBorders>
                    <w:tl2br w:val="nil"/>
                    <w:tr2bl w:val="nil"/>
                  </w:tcBorders>
                  <w:vAlign w:val="center"/>
                </w:tcPr>
                <w:p>
                  <w:pPr>
                    <w:tabs>
                      <w:tab w:val="left" w:pos="7470"/>
                    </w:tabs>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废灯管</w:t>
                  </w:r>
                </w:p>
              </w:tc>
              <w:tc>
                <w:tcPr>
                  <w:tcW w:w="935"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HW49</w:t>
                  </w:r>
                </w:p>
              </w:tc>
              <w:tc>
                <w:tcPr>
                  <w:tcW w:w="1216"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900-044-49</w:t>
                  </w:r>
                </w:p>
              </w:tc>
              <w:tc>
                <w:tcPr>
                  <w:tcW w:w="741"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695"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1269"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695"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696"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jc w:val="center"/>
              </w:trPr>
              <w:tc>
                <w:tcPr>
                  <w:tcW w:w="517" w:type="dxa"/>
                  <w:tcBorders>
                    <w:tl2br w:val="nil"/>
                    <w:tr2bl w:val="nil"/>
                  </w:tcBorders>
                  <w:vAlign w:val="center"/>
                </w:tcPr>
                <w:p>
                  <w:pPr>
                    <w:topLinePunct/>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813"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1011" w:type="dxa"/>
                  <w:tcBorders>
                    <w:tl2br w:val="nil"/>
                    <w:tr2bl w:val="nil"/>
                  </w:tcBorders>
                  <w:vAlign w:val="center"/>
                </w:tcPr>
                <w:p>
                  <w:pPr>
                    <w:tabs>
                      <w:tab w:val="left" w:pos="7470"/>
                    </w:tabs>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化验药剂废包装</w:t>
                  </w:r>
                </w:p>
              </w:tc>
              <w:tc>
                <w:tcPr>
                  <w:tcW w:w="935"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HW49</w:t>
                  </w:r>
                </w:p>
              </w:tc>
              <w:tc>
                <w:tcPr>
                  <w:tcW w:w="1216" w:type="dxa"/>
                  <w:tcBorders>
                    <w:tl2br w:val="nil"/>
                    <w:tr2bl w:val="nil"/>
                  </w:tcBorders>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900-041-49</w:t>
                  </w:r>
                </w:p>
              </w:tc>
              <w:tc>
                <w:tcPr>
                  <w:tcW w:w="741"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695"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1269"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695"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c>
                <w:tcPr>
                  <w:tcW w:w="696" w:type="dxa"/>
                  <w:vMerge w:val="continue"/>
                  <w:tcBorders>
                    <w:tl2br w:val="nil"/>
                    <w:tr2bl w:val="nil"/>
                  </w:tcBorders>
                  <w:vAlign w:val="center"/>
                </w:tcPr>
                <w:p>
                  <w:pPr>
                    <w:topLinePunct/>
                    <w:snapToGrid w:val="0"/>
                    <w:jc w:val="center"/>
                    <w:rPr>
                      <w:rFonts w:ascii="Times New Roman" w:hAnsi="Times New Roman" w:eastAsia="宋体" w:cs="Times New Roman"/>
                      <w:color w:val="auto"/>
                      <w:szCs w:val="21"/>
                    </w:rPr>
                  </w:pPr>
                </w:p>
              </w:tc>
            </w:tr>
          </w:tbl>
          <w:p>
            <w:pPr>
              <w:numPr>
                <w:ilvl w:val="0"/>
                <w:numId w:val="5"/>
              </w:num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危废处置单位要求</w:t>
            </w:r>
          </w:p>
          <w:p>
            <w:pPr>
              <w:pStyle w:val="30"/>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cs="Times New Roman"/>
                <w:color w:val="auto"/>
                <w:kern w:val="0"/>
                <w:sz w:val="24"/>
                <w:szCs w:val="24"/>
                <w:lang w:val="en-US" w:eastAsia="zh-CN" w:bidi="ar-SA"/>
              </w:rPr>
              <w:t>环评要求</w:t>
            </w:r>
            <w:r>
              <w:rPr>
                <w:rFonts w:hint="eastAsia" w:ascii="Times New Roman" w:hAnsi="Times New Roman" w:eastAsia="宋体" w:cs="Times New Roman"/>
                <w:color w:val="auto"/>
                <w:kern w:val="0"/>
                <w:sz w:val="24"/>
                <w:szCs w:val="24"/>
                <w:lang w:val="en-US" w:eastAsia="zh-CN" w:bidi="ar-SA"/>
              </w:rPr>
              <w:t>项目建设完成后，</w:t>
            </w:r>
            <w:r>
              <w:rPr>
                <w:rFonts w:hint="eastAsia" w:ascii="Times New Roman" w:hAnsi="Times New Roman" w:cs="Times New Roman"/>
                <w:color w:val="auto"/>
                <w:kern w:val="0"/>
                <w:sz w:val="24"/>
                <w:szCs w:val="24"/>
                <w:lang w:val="en-US" w:eastAsia="zh-CN" w:bidi="ar-SA"/>
              </w:rPr>
              <w:t>要与</w:t>
            </w:r>
            <w:r>
              <w:rPr>
                <w:rFonts w:hint="eastAsia" w:ascii="Times New Roman" w:hAnsi="Times New Roman" w:cs="Times New Roman"/>
                <w:color w:val="auto"/>
                <w:kern w:val="0"/>
                <w:sz w:val="24"/>
                <w:szCs w:val="24"/>
                <w:lang w:val="en-US" w:eastAsia="zh-CN"/>
              </w:rPr>
              <w:t>危险废物处置单位签署危险废物处置协议，且该单位必须有处理</w:t>
            </w:r>
            <w:r>
              <w:rPr>
                <w:rFonts w:ascii="Times New Roman" w:hAnsi="Times New Roman" w:eastAsia="宋体" w:cs="Times New Roman"/>
                <w:color w:val="auto"/>
                <w:kern w:val="0"/>
                <w:sz w:val="24"/>
                <w:szCs w:val="24"/>
              </w:rPr>
              <w:t>废物类别HW08（废矿物油与含矿物油废物），废物代码为900-214-08</w:t>
            </w:r>
            <w:r>
              <w:rPr>
                <w:rFonts w:hint="eastAsia" w:ascii="Times New Roman" w:hAnsi="Times New Roman" w:cs="Times New Roman"/>
                <w:color w:val="auto"/>
                <w:kern w:val="0"/>
                <w:sz w:val="24"/>
                <w:szCs w:val="24"/>
                <w:lang w:eastAsia="zh-CN"/>
              </w:rPr>
              <w:t>；</w:t>
            </w:r>
            <w:r>
              <w:rPr>
                <w:rFonts w:ascii="Times New Roman" w:hAnsi="Times New Roman" w:eastAsia="宋体" w:cs="Times New Roman"/>
                <w:color w:val="auto"/>
                <w:kern w:val="0"/>
                <w:sz w:val="24"/>
                <w:szCs w:val="24"/>
              </w:rPr>
              <w:t>废物类别为HW49（其他废物），废物代码为900-041-49</w:t>
            </w:r>
            <w:r>
              <w:rPr>
                <w:rFonts w:hint="eastAsia" w:ascii="Times New Roman" w:hAnsi="Times New Roman" w:cs="Times New Roman"/>
                <w:color w:val="auto"/>
                <w:kern w:val="0"/>
                <w:sz w:val="24"/>
                <w:szCs w:val="24"/>
                <w:lang w:eastAsia="zh-CN"/>
              </w:rPr>
              <w:t>；</w:t>
            </w:r>
            <w:r>
              <w:rPr>
                <w:rFonts w:ascii="Times New Roman" w:hAnsi="Times New Roman" w:eastAsia="宋体" w:cs="Times New Roman"/>
                <w:color w:val="auto"/>
                <w:kern w:val="0"/>
                <w:sz w:val="24"/>
                <w:szCs w:val="24"/>
              </w:rPr>
              <w:t>废物类别为HW49（其他废物），废物代码为900-044-49</w:t>
            </w:r>
            <w:r>
              <w:rPr>
                <w:rFonts w:hint="eastAsia" w:ascii="Times New Roman" w:hAnsi="Times New Roman" w:cs="Times New Roman"/>
                <w:color w:val="auto"/>
                <w:kern w:val="0"/>
                <w:sz w:val="24"/>
                <w:szCs w:val="24"/>
                <w:lang w:val="en-US" w:eastAsia="zh-CN"/>
              </w:rPr>
              <w:t>的资质</w:t>
            </w:r>
            <w:r>
              <w:rPr>
                <w:rFonts w:ascii="Times New Roman" w:hAnsi="Times New Roman" w:eastAsia="宋体" w:cs="Times New Roman"/>
                <w:color w:val="auto"/>
                <w:kern w:val="0"/>
                <w:sz w:val="24"/>
                <w:szCs w:val="24"/>
              </w:rPr>
              <w:t>。</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综上，在严格按照《危险废物贮存污染控制标准》进行管理后，对周围环境影响较小。</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4.9地下水、土壤</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企业应根据 《一般工业固体废物贮 存、处置场污染 物控制标准》(GB18599-2020</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相关要求设置一般固废堆场</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约10m</w:t>
            </w:r>
            <w:r>
              <w:rPr>
                <w:rFonts w:ascii="Times New Roman" w:hAnsi="Times New Roman" w:eastAsia="宋体" w:cs="Times New Roman"/>
                <w:color w:val="auto"/>
                <w:kern w:val="0"/>
                <w:sz w:val="24"/>
                <w:szCs w:val="24"/>
                <w:vertAlign w:val="superscript"/>
              </w:rPr>
              <w:t>2</w:t>
            </w:r>
            <w:r>
              <w:rPr>
                <w:rFonts w:ascii="Times New Roman" w:hAnsi="Times New Roman" w:eastAsia="宋体" w:cs="Times New Roman"/>
                <w:color w:val="auto"/>
                <w:kern w:val="0"/>
                <w:sz w:val="24"/>
                <w:szCs w:val="24"/>
              </w:rPr>
              <w:t>)，将收集的固废暂存于一般固废堆场，定期按照本环评的处置方式进行处置，且需落实好一般固废台账。确保固废零排放，把对周边环境的影响降到最低。</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4.9.1地下水、土壤环境影响因子识别</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表4-1</w:t>
            </w:r>
            <w:r>
              <w:rPr>
                <w:rFonts w:hint="eastAsia" w:ascii="Times New Roman" w:hAnsi="Times New Roman" w:eastAsia="宋体"/>
                <w:color w:val="auto"/>
                <w:sz w:val="24"/>
                <w:szCs w:val="24"/>
                <w:lang w:val="en-US" w:eastAsia="zh-CN"/>
              </w:rPr>
              <w:t>6</w:t>
            </w:r>
            <w:r>
              <w:rPr>
                <w:rFonts w:ascii="Times New Roman" w:hAnsi="Times New Roman" w:eastAsia="宋体"/>
                <w:color w:val="auto"/>
                <w:sz w:val="24"/>
                <w:szCs w:val="24"/>
              </w:rPr>
              <w:t xml:space="preserve">   本项目地下水、土壤环境影响源及影响因子识别表</w:t>
            </w:r>
          </w:p>
          <w:tbl>
            <w:tblPr>
              <w:tblStyle w:val="45"/>
              <w:tblW w:w="8593"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34"/>
              <w:gridCol w:w="1586"/>
              <w:gridCol w:w="1518"/>
              <w:gridCol w:w="1241"/>
              <w:gridCol w:w="983"/>
              <w:gridCol w:w="22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3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b/>
                      <w:bCs/>
                      <w:color w:val="auto"/>
                      <w:sz w:val="21"/>
                      <w:lang w:eastAsia="en-US"/>
                    </w:rPr>
                  </w:pPr>
                  <w:r>
                    <w:rPr>
                      <w:rFonts w:eastAsia="宋体"/>
                      <w:b/>
                      <w:bCs/>
                      <w:color w:val="auto"/>
                      <w:sz w:val="21"/>
                      <w:lang w:eastAsia="en-US"/>
                    </w:rPr>
                    <w:t>污染源</w:t>
                  </w:r>
                </w:p>
              </w:tc>
              <w:tc>
                <w:tcPr>
                  <w:tcW w:w="1586"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b/>
                      <w:bCs/>
                      <w:color w:val="auto"/>
                      <w:sz w:val="21"/>
                      <w:lang w:eastAsia="en-US"/>
                    </w:rPr>
                  </w:pPr>
                  <w:r>
                    <w:rPr>
                      <w:rFonts w:eastAsia="宋体"/>
                      <w:b/>
                      <w:bCs/>
                      <w:color w:val="auto"/>
                      <w:sz w:val="21"/>
                      <w:lang w:eastAsia="en-US"/>
                    </w:rPr>
                    <w:t>产排污环节</w:t>
                  </w:r>
                </w:p>
              </w:tc>
              <w:tc>
                <w:tcPr>
                  <w:tcW w:w="1518"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b/>
                      <w:bCs/>
                      <w:color w:val="auto"/>
                      <w:sz w:val="21"/>
                      <w:lang w:eastAsia="en-US"/>
                    </w:rPr>
                  </w:pPr>
                  <w:r>
                    <w:rPr>
                      <w:rFonts w:eastAsia="宋体"/>
                      <w:b/>
                      <w:bCs/>
                      <w:color w:val="auto"/>
                      <w:sz w:val="21"/>
                      <w:lang w:eastAsia="en-US"/>
                    </w:rPr>
                    <w:t>污染途径</w:t>
                  </w:r>
                </w:p>
              </w:tc>
              <w:tc>
                <w:tcPr>
                  <w:tcW w:w="12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b/>
                      <w:bCs/>
                      <w:color w:val="auto"/>
                      <w:sz w:val="21"/>
                      <w:lang w:eastAsia="en-US"/>
                    </w:rPr>
                  </w:pPr>
                  <w:r>
                    <w:rPr>
                      <w:rFonts w:eastAsia="宋体"/>
                      <w:b/>
                      <w:bCs/>
                      <w:color w:val="auto"/>
                      <w:sz w:val="21"/>
                      <w:lang w:eastAsia="en-US"/>
                    </w:rPr>
                    <w:t>污染物类型</w:t>
                  </w:r>
                </w:p>
              </w:tc>
              <w:tc>
                <w:tcPr>
                  <w:tcW w:w="98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b/>
                      <w:bCs/>
                      <w:color w:val="auto"/>
                      <w:sz w:val="21"/>
                      <w:lang w:eastAsia="en-US"/>
                    </w:rPr>
                  </w:pPr>
                  <w:r>
                    <w:rPr>
                      <w:rFonts w:eastAsia="宋体"/>
                      <w:b/>
                      <w:bCs/>
                      <w:color w:val="auto"/>
                      <w:sz w:val="21"/>
                      <w:lang w:eastAsia="en-US"/>
                    </w:rPr>
                    <w:t>排放形式</w:t>
                  </w:r>
                </w:p>
              </w:tc>
              <w:tc>
                <w:tcPr>
                  <w:tcW w:w="223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b/>
                      <w:bCs/>
                      <w:color w:val="auto"/>
                      <w:sz w:val="21"/>
                      <w:lang w:eastAsia="en-US"/>
                    </w:rPr>
                  </w:pPr>
                  <w:r>
                    <w:rPr>
                      <w:rFonts w:eastAsia="宋体"/>
                      <w:b/>
                      <w:bCs/>
                      <w:color w:val="auto"/>
                      <w:sz w:val="21"/>
                      <w:lang w:eastAsia="en-US"/>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034"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color w:val="auto"/>
                      <w:sz w:val="21"/>
                      <w:lang w:eastAsia="en-US"/>
                    </w:rPr>
                  </w:pPr>
                  <w:r>
                    <w:rPr>
                      <w:rFonts w:eastAsia="宋体"/>
                      <w:color w:val="auto"/>
                      <w:sz w:val="21"/>
                      <w:lang w:eastAsia="en-US"/>
                    </w:rPr>
                    <w:t>废水处理设施</w:t>
                  </w:r>
                </w:p>
              </w:tc>
              <w:tc>
                <w:tcPr>
                  <w:tcW w:w="1586"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color w:val="auto"/>
                      <w:sz w:val="21"/>
                      <w:lang w:eastAsia="zh-CN"/>
                    </w:rPr>
                  </w:pPr>
                  <w:r>
                    <w:rPr>
                      <w:rFonts w:eastAsia="宋体"/>
                      <w:color w:val="auto"/>
                      <w:sz w:val="21"/>
                      <w:szCs w:val="21"/>
                      <w:lang w:eastAsia="zh-CN"/>
                    </w:rPr>
                    <w:t>废水收集池、</w:t>
                  </w:r>
                  <w:r>
                    <w:rPr>
                      <w:rFonts w:eastAsia="宋体"/>
                      <w:color w:val="auto"/>
                      <w:sz w:val="21"/>
                      <w:lang w:eastAsia="zh-CN"/>
                    </w:rPr>
                    <w:t>污泥脱水等</w:t>
                  </w:r>
                </w:p>
              </w:tc>
              <w:tc>
                <w:tcPr>
                  <w:tcW w:w="1518"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color w:val="auto"/>
                      <w:sz w:val="21"/>
                      <w:lang w:eastAsia="en-US"/>
                    </w:rPr>
                  </w:pPr>
                  <w:r>
                    <w:rPr>
                      <w:rFonts w:eastAsia="宋体"/>
                      <w:color w:val="auto"/>
                      <w:sz w:val="21"/>
                      <w:lang w:eastAsia="en-US"/>
                    </w:rPr>
                    <w:t>地面漫流</w:t>
                  </w:r>
                </w:p>
              </w:tc>
              <w:tc>
                <w:tcPr>
                  <w:tcW w:w="1241"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color w:val="auto"/>
                      <w:sz w:val="21"/>
                      <w:lang w:eastAsia="en-US"/>
                    </w:rPr>
                  </w:pPr>
                  <w:r>
                    <w:rPr>
                      <w:rFonts w:eastAsia="宋体"/>
                      <w:color w:val="auto"/>
                      <w:spacing w:val="-1"/>
                      <w:position w:val="2"/>
                      <w:sz w:val="21"/>
                      <w:lang w:eastAsia="en-US"/>
                    </w:rPr>
                    <w:t>COD</w:t>
                  </w:r>
                  <w:r>
                    <w:rPr>
                      <w:rFonts w:hint="eastAsia" w:eastAsia="宋体"/>
                      <w:color w:val="auto"/>
                      <w:spacing w:val="-1"/>
                      <w:position w:val="2"/>
                      <w:sz w:val="21"/>
                      <w:vertAlign w:val="subscript"/>
                      <w:lang w:val="en-US" w:eastAsia="zh-CN"/>
                    </w:rPr>
                    <w:t>C</w:t>
                  </w:r>
                  <w:r>
                    <w:rPr>
                      <w:rFonts w:eastAsia="宋体"/>
                      <w:color w:val="auto"/>
                      <w:spacing w:val="-1"/>
                      <w:position w:val="2"/>
                      <w:sz w:val="21"/>
                      <w:vertAlign w:val="subscript"/>
                      <w:lang w:eastAsia="en-US"/>
                    </w:rPr>
                    <w:t>r</w:t>
                  </w:r>
                  <w:r>
                    <w:rPr>
                      <w:rFonts w:eastAsia="宋体"/>
                      <w:color w:val="auto"/>
                      <w:spacing w:val="-58"/>
                      <w:position w:val="2"/>
                      <w:sz w:val="21"/>
                      <w:lang w:eastAsia="en-US"/>
                    </w:rPr>
                    <w:t>、</w:t>
                  </w:r>
                  <w:r>
                    <w:rPr>
                      <w:rFonts w:eastAsia="宋体"/>
                      <w:color w:val="auto"/>
                      <w:position w:val="2"/>
                      <w:sz w:val="21"/>
                      <w:lang w:eastAsia="en-US"/>
                    </w:rPr>
                    <w:t>SS、</w:t>
                  </w:r>
                  <w:r>
                    <w:rPr>
                      <w:rFonts w:eastAsia="宋体"/>
                      <w:color w:val="auto"/>
                      <w:sz w:val="21"/>
                      <w:lang w:eastAsia="en-US"/>
                    </w:rPr>
                    <w:t>氨氮等</w:t>
                  </w:r>
                </w:p>
              </w:tc>
              <w:tc>
                <w:tcPr>
                  <w:tcW w:w="983" w:type="dxa"/>
                  <w:vMerge w:val="restart"/>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color w:val="auto"/>
                      <w:sz w:val="21"/>
                      <w:lang w:eastAsia="en-US"/>
                    </w:rPr>
                  </w:pPr>
                  <w:r>
                    <w:rPr>
                      <w:rFonts w:eastAsia="宋体"/>
                      <w:color w:val="auto"/>
                      <w:sz w:val="21"/>
                      <w:lang w:eastAsia="en-US"/>
                    </w:rPr>
                    <w:t>事故</w:t>
                  </w:r>
                </w:p>
              </w:tc>
              <w:tc>
                <w:tcPr>
                  <w:tcW w:w="223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color w:val="auto"/>
                      <w:sz w:val="21"/>
                      <w:lang w:eastAsia="zh-CN"/>
                    </w:rPr>
                  </w:pPr>
                  <w:r>
                    <w:rPr>
                      <w:rFonts w:eastAsia="宋体"/>
                      <w:color w:val="auto"/>
                      <w:sz w:val="21"/>
                      <w:lang w:eastAsia="zh-CN"/>
                    </w:rPr>
                    <w:t>主要对土壤环境</w:t>
                  </w:r>
                </w:p>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color w:val="auto"/>
                      <w:sz w:val="21"/>
                      <w:lang w:eastAsia="zh-CN"/>
                    </w:rPr>
                  </w:pPr>
                  <w:r>
                    <w:rPr>
                      <w:rFonts w:eastAsia="宋体"/>
                      <w:color w:val="auto"/>
                      <w:sz w:val="21"/>
                      <w:lang w:eastAsia="zh-CN"/>
                    </w:rPr>
                    <w:t>产生影响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03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jc w:val="center"/>
                    <w:textAlignment w:val="auto"/>
                    <w:rPr>
                      <w:rFonts w:ascii="Times New Roman" w:hAnsi="Times New Roman" w:eastAsia="宋体" w:cs="Times New Roman"/>
                      <w:color w:val="auto"/>
                      <w:kern w:val="0"/>
                      <w:sz w:val="2"/>
                      <w:szCs w:val="2"/>
                      <w:lang w:eastAsia="zh-CN"/>
                    </w:rPr>
                  </w:pPr>
                </w:p>
              </w:tc>
              <w:tc>
                <w:tcPr>
                  <w:tcW w:w="158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jc w:val="center"/>
                    <w:textAlignment w:val="auto"/>
                    <w:rPr>
                      <w:rFonts w:ascii="Times New Roman" w:hAnsi="Times New Roman" w:eastAsia="宋体" w:cs="Times New Roman"/>
                      <w:color w:val="auto"/>
                      <w:kern w:val="0"/>
                      <w:sz w:val="2"/>
                      <w:szCs w:val="2"/>
                      <w:lang w:eastAsia="zh-CN"/>
                    </w:rPr>
                  </w:pPr>
                </w:p>
              </w:tc>
              <w:tc>
                <w:tcPr>
                  <w:tcW w:w="1518"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color w:val="auto"/>
                      <w:sz w:val="21"/>
                      <w:lang w:eastAsia="en-US"/>
                    </w:rPr>
                  </w:pPr>
                  <w:r>
                    <w:rPr>
                      <w:rFonts w:eastAsia="宋体"/>
                      <w:color w:val="auto"/>
                      <w:sz w:val="21"/>
                      <w:lang w:eastAsia="en-US"/>
                    </w:rPr>
                    <w:t>垂直入渗</w:t>
                  </w:r>
                </w:p>
              </w:tc>
              <w:tc>
                <w:tcPr>
                  <w:tcW w:w="1241"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jc w:val="center"/>
                    <w:textAlignment w:val="auto"/>
                    <w:rPr>
                      <w:rFonts w:ascii="Times New Roman" w:hAnsi="Times New Roman" w:eastAsia="宋体" w:cs="Times New Roman"/>
                      <w:color w:val="auto"/>
                      <w:kern w:val="0"/>
                      <w:sz w:val="2"/>
                      <w:szCs w:val="2"/>
                      <w:lang w:eastAsia="en-US"/>
                    </w:rPr>
                  </w:pPr>
                </w:p>
              </w:tc>
              <w:tc>
                <w:tcPr>
                  <w:tcW w:w="983"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jc w:val="center"/>
                    <w:textAlignment w:val="auto"/>
                    <w:rPr>
                      <w:rFonts w:ascii="Times New Roman" w:hAnsi="Times New Roman" w:eastAsia="宋体" w:cs="Times New Roman"/>
                      <w:color w:val="auto"/>
                      <w:kern w:val="0"/>
                      <w:sz w:val="2"/>
                      <w:szCs w:val="2"/>
                      <w:lang w:eastAsia="en-US"/>
                    </w:rPr>
                  </w:pPr>
                </w:p>
              </w:tc>
              <w:tc>
                <w:tcPr>
                  <w:tcW w:w="223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snapToGrid/>
                    <w:jc w:val="center"/>
                    <w:textAlignment w:val="auto"/>
                    <w:rPr>
                      <w:rFonts w:eastAsia="宋体"/>
                      <w:color w:val="auto"/>
                      <w:sz w:val="21"/>
                      <w:lang w:eastAsia="zh-CN"/>
                    </w:rPr>
                  </w:pPr>
                  <w:r>
                    <w:rPr>
                      <w:rFonts w:eastAsia="宋体"/>
                      <w:color w:val="auto"/>
                      <w:sz w:val="21"/>
                      <w:lang w:eastAsia="zh-CN"/>
                    </w:rPr>
                    <w:t>主要对地下水、</w:t>
                  </w:r>
                  <w:r>
                    <w:rPr>
                      <w:rFonts w:eastAsia="宋体"/>
                      <w:color w:val="auto"/>
                      <w:w w:val="95"/>
                      <w:sz w:val="21"/>
                      <w:lang w:eastAsia="zh-CN"/>
                    </w:rPr>
                    <w:t>土</w:t>
                  </w:r>
                  <w:r>
                    <w:rPr>
                      <w:rFonts w:eastAsia="宋体"/>
                      <w:color w:val="auto"/>
                      <w:sz w:val="21"/>
                      <w:lang w:eastAsia="zh-CN"/>
                    </w:rPr>
                    <w:t>壤环境产生影响</w:t>
                  </w:r>
                </w:p>
              </w:tc>
            </w:tr>
          </w:tbl>
          <w:p>
            <w:pPr>
              <w:pStyle w:val="4"/>
              <w:pageBreakBefore w:val="0"/>
              <w:kinsoku/>
              <w:wordWrap/>
              <w:overflowPunct/>
              <w:bidi w:val="0"/>
              <w:spacing w:before="120" w:beforeLines="50" w:after="120" w:afterLines="50" w:line="500" w:lineRule="exact"/>
              <w:rPr>
                <w:rFonts w:hint="default" w:ascii="Times New Roman" w:hAnsi="Times New Roman" w:eastAsia="宋体" w:cs="Times New Roman"/>
                <w:b/>
                <w:bCs/>
                <w:color w:val="auto"/>
                <w:kern w:val="0"/>
                <w:sz w:val="24"/>
                <w:szCs w:val="24"/>
                <w:lang w:val="en-US" w:eastAsia="zh-CN" w:bidi="ar-SA"/>
              </w:rPr>
            </w:pPr>
            <w:bookmarkStart w:id="8" w:name="_Toc4332"/>
            <w:bookmarkStart w:id="9" w:name="_Toc32234"/>
            <w:bookmarkStart w:id="10" w:name="_Toc436313193"/>
            <w:r>
              <w:rPr>
                <w:rFonts w:hint="eastAsia" w:ascii="Times New Roman" w:hAnsi="Times New Roman" w:eastAsia="宋体" w:cs="Times New Roman"/>
                <w:b/>
                <w:bCs/>
                <w:color w:val="auto"/>
                <w:kern w:val="0"/>
                <w:sz w:val="24"/>
                <w:szCs w:val="24"/>
                <w:lang w:val="en-US" w:eastAsia="zh-CN" w:bidi="ar-SA"/>
              </w:rPr>
              <w:t>4.9.</w:t>
            </w:r>
            <w:r>
              <w:rPr>
                <w:rFonts w:hint="default" w:ascii="Times New Roman" w:hAnsi="Times New Roman" w:eastAsia="宋体" w:cs="Times New Roman"/>
                <w:b/>
                <w:bCs/>
                <w:color w:val="auto"/>
                <w:kern w:val="0"/>
                <w:sz w:val="24"/>
                <w:szCs w:val="24"/>
                <w:lang w:val="en-US" w:eastAsia="zh-CN" w:bidi="ar-SA"/>
              </w:rPr>
              <w:t xml:space="preserve">2 </w:t>
            </w:r>
            <w:r>
              <w:rPr>
                <w:rFonts w:hint="eastAsia" w:ascii="Times New Roman" w:hAnsi="Times New Roman" w:eastAsia="宋体" w:cs="Times New Roman"/>
                <w:b/>
                <w:bCs/>
                <w:color w:val="auto"/>
                <w:kern w:val="0"/>
                <w:sz w:val="24"/>
                <w:szCs w:val="24"/>
                <w:lang w:val="en-US" w:eastAsia="zh-CN" w:bidi="ar-SA"/>
              </w:rPr>
              <w:t>项目场地</w:t>
            </w:r>
            <w:r>
              <w:rPr>
                <w:rFonts w:hint="default" w:ascii="Times New Roman" w:hAnsi="Times New Roman" w:eastAsia="宋体" w:cs="Times New Roman"/>
                <w:b/>
                <w:bCs/>
                <w:color w:val="auto"/>
                <w:kern w:val="0"/>
                <w:sz w:val="24"/>
                <w:szCs w:val="24"/>
                <w:lang w:val="en-US" w:eastAsia="zh-CN" w:bidi="ar-SA"/>
              </w:rPr>
              <w:t>地质与水文地质条件</w:t>
            </w:r>
            <w:bookmarkEnd w:id="8"/>
            <w:bookmarkEnd w:id="9"/>
            <w:bookmarkEnd w:id="10"/>
          </w:p>
          <w:p>
            <w:pPr>
              <w:pStyle w:val="5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bookmarkStart w:id="11" w:name="OLE_LINK13"/>
            <w:r>
              <w:rPr>
                <w:rFonts w:hint="default" w:ascii="Times New Roman" w:hAnsi="Times New Roman" w:eastAsia="宋体" w:cs="Times New Roman"/>
                <w:color w:val="auto"/>
                <w:kern w:val="0"/>
                <w:sz w:val="24"/>
                <w:szCs w:val="24"/>
                <w:lang w:val="en-US" w:eastAsia="zh-CN" w:bidi="ar-SA"/>
              </w:rPr>
              <w:t>1）含水层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项目所在区域地下水类型为</w:t>
            </w:r>
            <w:r>
              <w:rPr>
                <w:rFonts w:hint="default" w:ascii="Times New Roman" w:hAnsi="Times New Roman" w:eastAsia="宋体" w:cs="Times New Roman"/>
                <w:color w:val="auto"/>
                <w:kern w:val="0"/>
                <w:sz w:val="24"/>
                <w:szCs w:val="24"/>
                <w:lang w:val="en-US" w:eastAsia="zh-CN" w:bidi="ar-SA"/>
              </w:rPr>
              <w:t>松散岩类孔隙水</w:t>
            </w:r>
            <w:r>
              <w:rPr>
                <w:rFonts w:hint="eastAsia" w:ascii="Times New Roman" w:hAnsi="Times New Roman" w:eastAsia="宋体" w:cs="Times New Roman"/>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松散碎屑岩类孔隙水含水层，严格受古河道控制。繁峙县平川区是滹沱河上游的槽地，滹沱河为稳定性河流，主流线经常在较窄的范围内摆动，因此，含水层发育较厚，颗粒较粗，是地下水的富水地段。单位涌水量约10—40米3/时米。山前倾斜平原地下水随洪积扇的发育而富水。小柏峪、南峪口洪积扇，河流堆积带范围大，含水层厚度约40—100米，单位涌水量10—20米3/时·米．马峪河洪积扇含水层厚度20—60米，单位涌水量10—25米3/时·米，是本县地下水的富水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地下水的补给主要为大气降水和地表水渗漏。地下水的流向基本与地表水一致，</w:t>
            </w:r>
            <w:r>
              <w:rPr>
                <w:rFonts w:hint="eastAsia" w:ascii="Times New Roman" w:hAnsi="Times New Roman" w:eastAsia="宋体" w:cs="Times New Roman"/>
                <w:color w:val="auto"/>
                <w:kern w:val="0"/>
                <w:sz w:val="24"/>
                <w:szCs w:val="24"/>
                <w:lang w:val="en-US" w:eastAsia="zh-CN" w:bidi="ar-SA"/>
              </w:rPr>
              <w:t>由东北方向流向西南方向</w:t>
            </w:r>
            <w:r>
              <w:rPr>
                <w:rFonts w:hint="default" w:ascii="Times New Roman" w:hAnsi="Times New Roman" w:eastAsia="宋体" w:cs="Times New Roman"/>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河谷区孔隙水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主要分布于滹沱河河床、河漫滩及Ⅰ、Ⅱ级阶地，含水层主要为第四系上更新统和全新统砂卵砾石层。地下水接受大气降水入渗补给，地表水渗漏补给和倾斜平原区侧向径流补给，由上游向下游径流和运动，排泄方式为人工开采、蒸发排泄和向下游径流。水位埋深十几米，富水性一般较强，单井涌水量一般1000～2000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/d。</w:t>
            </w:r>
          </w:p>
          <w:p>
            <w:pPr>
              <w:pStyle w:val="5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2）地下水的补、迳、排泄条件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地下水径流</w:t>
            </w:r>
            <w:r>
              <w:rPr>
                <w:rFonts w:hint="default" w:ascii="Times New Roman" w:hAnsi="Times New Roman" w:eastAsia="宋体" w:cs="Times New Roman"/>
                <w:color w:val="auto"/>
                <w:kern w:val="0"/>
                <w:sz w:val="24"/>
                <w:szCs w:val="24"/>
                <w:lang w:val="en-US" w:eastAsia="zh-CN" w:bidi="ar-SA"/>
              </w:rPr>
              <w:t>方向与地表水流方向基本一致，即由基岩山区向倾斜平原和冲积平原进入滹沱河。滹沱河是区内最低排泄基准面，不仅汇聚了区内所有的地表水，而且得到了大量的地下水补给，成为区内的主要排泄通道。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倾斜平原区，地下水除直接受大气降雨外，尚有地表水入渗、灌溉入渗和地下水侧向补给。山区河流出山后，由于地下水埋深大，河床底部堆积物较粗，河水大量渗漏，几乎全部渗入地下，河床常年干枯无水。雨季纵横交错的河、渠和密布的水库，池塘大量引水蓄水，水位抬高，渗漏加强，补给周围地下水。农作物生长期间，人工灌溉用水，一部分用于包气带和作物直接吸收，其余则入渗补给为地下水，滹沱河源头地下水侧向径流是区内的重要补给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冲积平原区地下水补给来源有大气降水、倾斜平原地下水侧向</w:t>
            </w:r>
            <w:r>
              <w:rPr>
                <w:rFonts w:hint="eastAsia" w:ascii="Times New Roman" w:hAnsi="Times New Roman" w:eastAsia="宋体" w:cs="Times New Roman"/>
                <w:color w:val="auto"/>
                <w:kern w:val="0"/>
                <w:sz w:val="24"/>
                <w:szCs w:val="24"/>
                <w:lang w:val="en-US" w:eastAsia="zh-CN" w:bidi="ar-SA"/>
              </w:rPr>
              <w:t>径流</w:t>
            </w:r>
            <w:r>
              <w:rPr>
                <w:rFonts w:hint="default" w:ascii="Times New Roman" w:hAnsi="Times New Roman" w:eastAsia="宋体" w:cs="Times New Roman"/>
                <w:color w:val="auto"/>
                <w:kern w:val="0"/>
                <w:sz w:val="24"/>
                <w:szCs w:val="24"/>
                <w:lang w:val="en-US" w:eastAsia="zh-CN" w:bidi="ar-SA"/>
              </w:rPr>
              <w:t>和繁峙断面地下</w:t>
            </w:r>
            <w:r>
              <w:rPr>
                <w:rFonts w:hint="eastAsia" w:ascii="Times New Roman" w:hAnsi="Times New Roman" w:eastAsia="宋体" w:cs="Times New Roman"/>
                <w:color w:val="auto"/>
                <w:kern w:val="0"/>
                <w:sz w:val="24"/>
                <w:szCs w:val="24"/>
                <w:lang w:val="en-US" w:eastAsia="zh-CN" w:bidi="ar-SA"/>
              </w:rPr>
              <w:t>径流</w:t>
            </w:r>
            <w:r>
              <w:rPr>
                <w:rFonts w:hint="default" w:ascii="Times New Roman" w:hAnsi="Times New Roman" w:eastAsia="宋体" w:cs="Times New Roman"/>
                <w:color w:val="auto"/>
                <w:kern w:val="0"/>
                <w:sz w:val="24"/>
                <w:szCs w:val="24"/>
                <w:lang w:val="en-US" w:eastAsia="zh-CN" w:bidi="ar-SA"/>
              </w:rPr>
              <w:t>以及渠道渗漏、灌溉入渗补给，由于地下水埋深小，</w:t>
            </w:r>
            <w:r>
              <w:rPr>
                <w:rFonts w:hint="eastAsia" w:ascii="Times New Roman" w:hAnsi="Times New Roman" w:eastAsia="宋体" w:cs="Times New Roman"/>
                <w:color w:val="auto"/>
                <w:kern w:val="0"/>
                <w:sz w:val="24"/>
                <w:szCs w:val="24"/>
                <w:lang w:val="en-US" w:eastAsia="zh-CN" w:bidi="ar-SA"/>
              </w:rPr>
              <w:t>径流</w:t>
            </w:r>
            <w:r>
              <w:rPr>
                <w:rFonts w:hint="default" w:ascii="Times New Roman" w:hAnsi="Times New Roman" w:eastAsia="宋体" w:cs="Times New Roman"/>
                <w:color w:val="auto"/>
                <w:kern w:val="0"/>
                <w:sz w:val="24"/>
                <w:szCs w:val="24"/>
                <w:lang w:val="en-US" w:eastAsia="zh-CN" w:bidi="ar-SA"/>
              </w:rPr>
              <w:t>微弱。地下水一方面以径流形式向滹沱河排泄，另一方面以潜水蒸发、地面蒸发和植物叶面蒸腾作用向外界排泄。蒸发作用的结果，使得大片土地盐碱化，地下水矿化度明显增高。</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color w:val="auto"/>
                <w:sz w:val="21"/>
              </w:rPr>
            </w:pPr>
          </w:p>
          <w:p>
            <w:pPr>
              <w:rPr>
                <w:rFonts w:hint="default"/>
                <w:color w:val="auto"/>
                <w:lang w:val="en-US" w:eastAsia="zh-CN"/>
              </w:rPr>
            </w:pPr>
          </w:p>
          <w:bookmarkEnd w:id="11"/>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bookmarkStart w:id="12" w:name="_Toc31039"/>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r>
              <w:rPr>
                <w:color w:val="auto"/>
              </w:rPr>
              <w:drawing>
                <wp:anchor distT="0" distB="0" distL="114300" distR="114300" simplePos="0" relativeHeight="251663360" behindDoc="1" locked="0" layoutInCell="1" allowOverlap="1">
                  <wp:simplePos x="0" y="0"/>
                  <wp:positionH relativeFrom="column">
                    <wp:posOffset>-1313815</wp:posOffset>
                  </wp:positionH>
                  <wp:positionV relativeFrom="paragraph">
                    <wp:posOffset>1775460</wp:posOffset>
                  </wp:positionV>
                  <wp:extent cx="7341870" cy="4801235"/>
                  <wp:effectExtent l="0" t="0" r="18415" b="1143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rot="16200000">
                            <a:off x="0" y="0"/>
                            <a:ext cx="7341870" cy="4801235"/>
                          </a:xfrm>
                          <a:prstGeom prst="rect">
                            <a:avLst/>
                          </a:prstGeom>
                          <a:noFill/>
                          <a:ln>
                            <a:noFill/>
                          </a:ln>
                        </pic:spPr>
                      </pic:pic>
                    </a:graphicData>
                  </a:graphic>
                </wp:anchor>
              </w:drawing>
            </w: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3249930</wp:posOffset>
                      </wp:positionH>
                      <wp:positionV relativeFrom="paragraph">
                        <wp:posOffset>1870710</wp:posOffset>
                      </wp:positionV>
                      <wp:extent cx="3886200" cy="409575"/>
                      <wp:effectExtent l="1738630" t="0" r="0" b="0"/>
                      <wp:wrapNone/>
                      <wp:docPr id="7" name="文本框 7"/>
                      <wp:cNvGraphicFramePr/>
                      <a:graphic xmlns:a="http://schemas.openxmlformats.org/drawingml/2006/main">
                        <a:graphicData uri="http://schemas.microsoft.com/office/word/2010/wordprocessingShape">
                          <wps:wsp>
                            <wps:cNvSpPr txBox="1"/>
                            <wps:spPr>
                              <a:xfrm rot="16200000">
                                <a:off x="3941445" y="6707505"/>
                                <a:ext cx="388620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default" w:eastAsia="宋体"/>
                                      <w:lang w:val="en-US" w:eastAsia="zh-CN"/>
                                    </w:rPr>
                                  </w:pPr>
                                  <w:r>
                                    <w:rPr>
                                      <w:rFonts w:hint="eastAsia"/>
                                      <w:lang w:val="en-US" w:eastAsia="zh-CN"/>
                                    </w:rPr>
                                    <w:t>繁峙县水文地质图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9pt;margin-top:147.3pt;height:32.25pt;width:306pt;rotation:-5898240f;z-index:251664384;mso-width-relative:page;mso-height-relative:page;" filled="f" stroked="f" coordsize="21600,21600" o:gfxdata="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s0C2tsAAAAMAQAA&#10;DwAAAAAAAAABACAAAAAiAAAAZHJzL2Rvd25yZXYueG1sUEsBAhQAFAAAAAgAh07iQJa8sqhPAgAA&#10;gQQAAA4AAAAAAAAAAQAgAAAAKgEAAGRycy9lMm9Eb2MueG1sUEsFBgAAAAAGAAYAWQEAAOsFAAAA&#10;AA==&#10;">
                      <v:fill on="f" focussize="0,0"/>
                      <v:stroke on="f" weight="0.5pt"/>
                      <v:imagedata o:title=""/>
                      <o:lock v:ext="edit" aspectratio="f"/>
                      <v:textbox>
                        <w:txbxContent>
                          <w:p>
                            <w:pPr>
                              <w:ind w:left="0" w:leftChars="0" w:right="0" w:rightChars="0" w:firstLine="0" w:firstLineChars="0"/>
                              <w:jc w:val="center"/>
                              <w:rPr>
                                <w:rFonts w:hint="default" w:eastAsia="宋体"/>
                                <w:lang w:val="en-US" w:eastAsia="zh-CN"/>
                              </w:rPr>
                            </w:pPr>
                            <w:r>
                              <w:rPr>
                                <w:rFonts w:hint="eastAsia"/>
                                <w:lang w:val="en-US" w:eastAsia="zh-CN"/>
                              </w:rPr>
                              <w:t>繁峙县水文地质图</w:t>
                            </w:r>
                          </w:p>
                        </w:txbxContent>
                      </v:textbox>
                    </v:shape>
                  </w:pict>
                </mc:Fallback>
              </mc:AlternateContent>
            </w: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pStyle w:val="4"/>
              <w:pageBreakBefore w:val="0"/>
              <w:kinsoku/>
              <w:wordWrap/>
              <w:overflowPunct/>
              <w:bidi w:val="0"/>
              <w:spacing w:before="360" w:beforeLines="150" w:after="0" w:afterLines="0" w:line="500" w:lineRule="exact"/>
              <w:rPr>
                <w:rFonts w:hint="default" w:ascii="Times New Roman" w:hAnsi="Times New Roman" w:eastAsia="华文中宋" w:cs="Times New Roman"/>
                <w:color w:val="auto"/>
              </w:rPr>
            </w:pPr>
          </w:p>
          <w:p>
            <w:pPr>
              <w:rPr>
                <w:rFonts w:hint="default" w:ascii="Times New Roman" w:hAnsi="Times New Roman" w:eastAsia="华文中宋" w:cs="Times New Roman"/>
                <w:color w:val="auto"/>
              </w:rPr>
            </w:pPr>
          </w:p>
          <w:p>
            <w:pPr>
              <w:pStyle w:val="2"/>
              <w:rPr>
                <w:rFonts w:hint="default" w:ascii="Times New Roman" w:hAnsi="Times New Roman" w:eastAsia="华文中宋" w:cs="Times New Roman"/>
                <w:color w:val="auto"/>
              </w:rPr>
            </w:pPr>
          </w:p>
          <w:p>
            <w:pPr>
              <w:rPr>
                <w:rFonts w:hint="default" w:ascii="Times New Roman" w:hAnsi="Times New Roman" w:eastAsia="华文中宋" w:cs="Times New Roman"/>
                <w:color w:val="auto"/>
              </w:rPr>
            </w:pPr>
          </w:p>
          <w:p>
            <w:pPr>
              <w:pStyle w:val="2"/>
              <w:rPr>
                <w:rFonts w:hint="default" w:ascii="Times New Roman" w:hAnsi="Times New Roman" w:eastAsia="华文中宋" w:cs="Times New Roman"/>
                <w:color w:val="auto"/>
              </w:rPr>
            </w:pPr>
          </w:p>
          <w:p>
            <w:pPr>
              <w:rPr>
                <w:rFonts w:hint="default" w:ascii="Times New Roman" w:hAnsi="Times New Roman" w:eastAsia="华文中宋" w:cs="Times New Roman"/>
                <w:color w:val="auto"/>
              </w:rPr>
            </w:pPr>
          </w:p>
          <w:p>
            <w:pPr>
              <w:pStyle w:val="2"/>
              <w:rPr>
                <w:rFonts w:hint="default" w:ascii="Times New Roman" w:hAnsi="Times New Roman" w:eastAsia="华文中宋" w:cs="Times New Roman"/>
                <w:color w:val="auto"/>
              </w:rPr>
            </w:pPr>
          </w:p>
          <w:p>
            <w:pPr>
              <w:rPr>
                <w:rFonts w:hint="default" w:ascii="Times New Roman" w:hAnsi="Times New Roman" w:eastAsia="华文中宋" w:cs="Times New Roman"/>
                <w:color w:val="auto"/>
              </w:rPr>
            </w:pPr>
          </w:p>
          <w:p>
            <w:pPr>
              <w:pStyle w:val="2"/>
              <w:rPr>
                <w:rFonts w:hint="default"/>
                <w:color w:val="auto"/>
              </w:rPr>
            </w:pPr>
          </w:p>
          <w:p>
            <w:pPr>
              <w:rPr>
                <w:rFonts w:hint="default"/>
                <w:color w:val="auto"/>
              </w:rPr>
            </w:pPr>
          </w:p>
          <w:p>
            <w:pPr>
              <w:pStyle w:val="2"/>
              <w:rPr>
                <w:rFonts w:hint="default"/>
                <w:color w:val="auto"/>
              </w:rPr>
            </w:pPr>
          </w:p>
          <w:p>
            <w:pPr>
              <w:pStyle w:val="4"/>
              <w:keepNext/>
              <w:keepLines/>
              <w:pageBreakBefore w:val="0"/>
              <w:widowControl w:val="0"/>
              <w:kinsoku/>
              <w:wordWrap/>
              <w:overflowPunct/>
              <w:topLinePunct w:val="0"/>
              <w:autoSpaceDE/>
              <w:autoSpaceDN/>
              <w:bidi w:val="0"/>
              <w:adjustRightInd/>
              <w:snapToGrid/>
              <w:spacing w:before="0" w:after="0" w:afterLines="0" w:line="360" w:lineRule="auto"/>
              <w:textAlignment w:val="auto"/>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4.9.</w:t>
            </w:r>
            <w:r>
              <w:rPr>
                <w:rFonts w:hint="default" w:ascii="Times New Roman" w:hAnsi="Times New Roman" w:eastAsia="宋体" w:cs="Times New Roman"/>
                <w:b/>
                <w:bCs/>
                <w:color w:val="auto"/>
                <w:kern w:val="0"/>
                <w:sz w:val="24"/>
                <w:szCs w:val="24"/>
                <w:lang w:val="en-US" w:eastAsia="zh-CN" w:bidi="ar-SA"/>
              </w:rPr>
              <w:t>3 评价区地下水敏感因素调查</w:t>
            </w:r>
            <w:bookmarkEnd w:id="12"/>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eastAsia="宋体" w:cs="Times New Roman"/>
                <w:b/>
                <w:bCs/>
                <w:color w:val="auto"/>
                <w:kern w:val="0"/>
                <w:sz w:val="24"/>
                <w:szCs w:val="24"/>
                <w:lang w:val="en-US" w:eastAsia="zh-CN" w:bidi="ar-SA"/>
              </w:rPr>
            </w:pPr>
            <w:bookmarkStart w:id="13" w:name="_Toc22505"/>
            <w:bookmarkStart w:id="14" w:name="_Toc29800"/>
            <w:r>
              <w:rPr>
                <w:rFonts w:hint="eastAsia" w:cs="Times New Roman"/>
                <w:b/>
                <w:bCs/>
                <w:color w:val="auto"/>
                <w:kern w:val="0"/>
                <w:sz w:val="24"/>
                <w:szCs w:val="24"/>
                <w:lang w:val="en-US" w:eastAsia="zh-CN" w:bidi="ar-SA"/>
              </w:rPr>
              <w:t>4.9.</w:t>
            </w:r>
            <w:r>
              <w:rPr>
                <w:rFonts w:hint="default" w:ascii="Times New Roman" w:hAnsi="Times New Roman" w:eastAsia="宋体" w:cs="Times New Roman"/>
                <w:b/>
                <w:bCs/>
                <w:color w:val="auto"/>
                <w:kern w:val="0"/>
                <w:sz w:val="24"/>
                <w:szCs w:val="24"/>
                <w:lang w:val="en-US" w:eastAsia="zh-CN" w:bidi="ar-SA"/>
              </w:rPr>
              <w:t>3.1区域集中水源地</w:t>
            </w:r>
            <w:bookmarkEnd w:id="13"/>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繁峙县乡镇集中式饮用水水源地保护区划分技术报告，繁峙县乡镇集中式饮用水水源地共有12处，分别为柏家庄乡集中供水水源、大营镇集中供水水源、金山铺集中供水水源、砂河镇集中供水水源、集义乡集中供水水源、下茹越乡集中供水水源、东山乡集中供水水源、杏园镇集中供水水源、光裕堡集中供水水源、岩头乡集中供水水源、横涧乡集中供水水源和神堂堡乡集中供水水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本项目距离最近的集中供水水源地为</w:t>
            </w:r>
            <w:r>
              <w:rPr>
                <w:rFonts w:hint="eastAsia" w:ascii="Times New Roman" w:hAnsi="Times New Roman" w:eastAsia="宋体" w:cs="Times New Roman"/>
                <w:color w:val="auto"/>
                <w:kern w:val="0"/>
                <w:sz w:val="24"/>
                <w:szCs w:val="24"/>
                <w:lang w:val="en-US" w:eastAsia="zh-CN" w:bidi="ar-SA"/>
              </w:rPr>
              <w:t>杏园镇集中供水水源地</w:t>
            </w:r>
            <w:r>
              <w:rPr>
                <w:rFonts w:hint="default" w:ascii="Times New Roman" w:hAnsi="Times New Roman" w:eastAsia="宋体" w:cs="Times New Roman"/>
                <w:color w:val="auto"/>
                <w:kern w:val="0"/>
                <w:sz w:val="24"/>
                <w:szCs w:val="24"/>
                <w:lang w:val="en-US" w:eastAsia="zh-CN" w:bidi="ar-SA"/>
              </w:rPr>
              <w:t>，约4.</w:t>
            </w:r>
            <w:r>
              <w:rPr>
                <w:rFonts w:hint="eastAsia" w:ascii="Times New Roman" w:hAnsi="Times New Roman" w:eastAsia="宋体" w:cs="Times New Roman"/>
                <w:color w:val="auto"/>
                <w:kern w:val="0"/>
                <w:sz w:val="24"/>
                <w:szCs w:val="24"/>
                <w:lang w:val="en-US" w:eastAsia="zh-CN" w:bidi="ar-SA"/>
              </w:rPr>
              <w:t>5</w:t>
            </w:r>
            <w:r>
              <w:rPr>
                <w:rFonts w:hint="default" w:ascii="Times New Roman" w:hAnsi="Times New Roman" w:eastAsia="宋体" w:cs="Times New Roman"/>
                <w:color w:val="auto"/>
                <w:kern w:val="0"/>
                <w:sz w:val="24"/>
                <w:szCs w:val="24"/>
                <w:lang w:val="en-US" w:eastAsia="zh-CN" w:bidi="ar-SA"/>
              </w:rPr>
              <w:t>km。</w:t>
            </w:r>
            <w:r>
              <w:rPr>
                <w:rFonts w:hint="eastAsia" w:ascii="Times New Roman" w:hAnsi="Times New Roman" w:eastAsia="宋体" w:cs="Times New Roman"/>
                <w:color w:val="auto"/>
                <w:kern w:val="0"/>
                <w:sz w:val="24"/>
                <w:szCs w:val="24"/>
                <w:lang w:val="en-US" w:eastAsia="zh-CN" w:bidi="ar-SA"/>
              </w:rPr>
              <w:t>水源井开采50m以中更新孔隙水，0~43m全部采用红土球止水，静止水位38m，高于隔水底板12m，按地下水埋藏条件及含水介质视为承压水</w:t>
            </w:r>
            <w:r>
              <w:rPr>
                <w:rFonts w:hint="default" w:ascii="Times New Roman" w:hAnsi="Times New Roman" w:eastAsia="宋体" w:cs="Times New Roman"/>
                <w:color w:val="auto"/>
                <w:kern w:val="0"/>
                <w:sz w:val="24"/>
                <w:szCs w:val="24"/>
                <w:lang w:val="en-US" w:eastAsia="zh-CN" w:bidi="ar-SA"/>
              </w:rPr>
              <w:t>。</w:t>
            </w: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eastAsia="宋体" w:cs="Times New Roman"/>
                <w:b/>
                <w:bCs/>
                <w:color w:val="auto"/>
                <w:kern w:val="0"/>
                <w:sz w:val="24"/>
                <w:szCs w:val="24"/>
                <w:lang w:val="en-US" w:eastAsia="zh-CN" w:bidi="ar-SA"/>
              </w:rPr>
            </w:pPr>
            <w:bookmarkStart w:id="15" w:name="_Toc10232"/>
            <w:r>
              <w:rPr>
                <w:rFonts w:hint="eastAsia" w:cs="Times New Roman"/>
                <w:b/>
                <w:bCs/>
                <w:color w:val="auto"/>
                <w:kern w:val="0"/>
                <w:sz w:val="24"/>
                <w:szCs w:val="24"/>
                <w:lang w:val="en-US" w:eastAsia="zh-CN" w:bidi="ar-SA"/>
              </w:rPr>
              <w:t>4.9.</w:t>
            </w:r>
            <w:r>
              <w:rPr>
                <w:rFonts w:hint="default" w:ascii="Times New Roman" w:hAnsi="Times New Roman" w:eastAsia="宋体" w:cs="Times New Roman"/>
                <w:b/>
                <w:bCs/>
                <w:color w:val="auto"/>
                <w:kern w:val="0"/>
                <w:sz w:val="24"/>
                <w:szCs w:val="24"/>
                <w:lang w:val="en-US" w:eastAsia="zh-CN" w:bidi="ar-SA"/>
              </w:rPr>
              <w:t>3.2区域分散水井</w:t>
            </w:r>
            <w:bookmarkEnd w:id="15"/>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通过调查了解，</w:t>
            </w:r>
            <w:r>
              <w:rPr>
                <w:rFonts w:hint="eastAsia" w:ascii="Times New Roman" w:hAnsi="Times New Roman" w:eastAsia="宋体" w:cs="Times New Roman"/>
                <w:color w:val="auto"/>
                <w:sz w:val="24"/>
                <w:lang w:val="en-US" w:eastAsia="zh-CN"/>
              </w:rPr>
              <w:t>距离项目最近的为古家庄村</w:t>
            </w:r>
            <w:r>
              <w:rPr>
                <w:rFonts w:hint="default" w:ascii="Times New Roman" w:hAnsi="Times New Roman" w:eastAsia="宋体" w:cs="Times New Roman"/>
                <w:color w:val="auto"/>
                <w:sz w:val="24"/>
                <w:lang w:val="en-US" w:eastAsia="zh-CN"/>
              </w:rPr>
              <w:t>分散水井</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现已不作为饮用水源使用。经调查，周围村庄无浅（潜）井，均中层或深层水井。根据《分散式饮用水水源地环境保护指南（试行）》（环办</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2010</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132号）文件，第1.3.2条“地下水水源保护范围：取水口周边30-50m范围”。</w:t>
            </w:r>
          </w:p>
          <w:bookmarkEnd w:id="14"/>
          <w:p>
            <w:pPr>
              <w:pStyle w:val="4"/>
              <w:keepNext/>
              <w:keepLines/>
              <w:pageBreakBefore w:val="0"/>
              <w:widowControl w:val="0"/>
              <w:kinsoku/>
              <w:wordWrap/>
              <w:overflowPunct/>
              <w:topLinePunct w:val="0"/>
              <w:autoSpaceDE/>
              <w:autoSpaceDN/>
              <w:bidi w:val="0"/>
              <w:adjustRightInd/>
              <w:snapToGrid/>
              <w:spacing w:before="0" w:after="0" w:afterLines="0" w:line="360" w:lineRule="auto"/>
              <w:textAlignment w:val="auto"/>
              <w:rPr>
                <w:rFonts w:hint="default" w:ascii="Times New Roman" w:hAnsi="Times New Roman" w:eastAsia="宋体" w:cs="Times New Roman"/>
                <w:b/>
                <w:bCs/>
                <w:color w:val="auto"/>
                <w:kern w:val="0"/>
                <w:sz w:val="24"/>
                <w:szCs w:val="24"/>
                <w:lang w:val="en-US" w:eastAsia="zh-CN" w:bidi="ar-SA"/>
              </w:rPr>
            </w:pPr>
            <w:bookmarkStart w:id="16" w:name="_Toc30118"/>
            <w:bookmarkStart w:id="17" w:name="_Toc13687"/>
            <w:bookmarkStart w:id="18" w:name="_Toc436313199"/>
            <w:r>
              <w:rPr>
                <w:rFonts w:hint="eastAsia" w:ascii="Times New Roman" w:hAnsi="Times New Roman" w:eastAsia="宋体" w:cs="Times New Roman"/>
                <w:b/>
                <w:bCs/>
                <w:color w:val="auto"/>
                <w:kern w:val="0"/>
                <w:sz w:val="24"/>
                <w:szCs w:val="24"/>
                <w:lang w:val="en-US" w:eastAsia="zh-CN" w:bidi="ar-SA"/>
              </w:rPr>
              <w:t>4.9.4</w:t>
            </w:r>
            <w:r>
              <w:rPr>
                <w:rFonts w:hint="default" w:ascii="Times New Roman" w:hAnsi="Times New Roman" w:eastAsia="宋体" w:cs="Times New Roman"/>
                <w:b/>
                <w:bCs/>
                <w:color w:val="auto"/>
                <w:kern w:val="0"/>
                <w:sz w:val="24"/>
                <w:szCs w:val="24"/>
                <w:lang w:val="en-US" w:eastAsia="zh-CN" w:bidi="ar-SA"/>
              </w:rPr>
              <w:t>.地下水环境影响评价</w:t>
            </w:r>
            <w:bookmarkEnd w:id="16"/>
            <w:bookmarkEnd w:id="17"/>
            <w:bookmarkEnd w:id="18"/>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ascii="Times New Roman" w:hAnsi="Times New Roman" w:eastAsia="宋体" w:cs="Times New Roman"/>
                <w:b/>
                <w:bCs/>
                <w:color w:val="auto"/>
                <w:kern w:val="0"/>
                <w:sz w:val="24"/>
                <w:szCs w:val="24"/>
                <w:lang w:val="en-US" w:eastAsia="zh-CN" w:bidi="ar-SA"/>
              </w:rPr>
            </w:pPr>
            <w:bookmarkStart w:id="19" w:name="_Toc3583"/>
            <w:bookmarkStart w:id="20" w:name="_Toc21708"/>
            <w:bookmarkStart w:id="21" w:name="_Toc436313200"/>
            <w:r>
              <w:rPr>
                <w:rFonts w:hint="eastAsia" w:cs="Times New Roman"/>
                <w:b/>
                <w:bCs/>
                <w:color w:val="auto"/>
                <w:kern w:val="0"/>
                <w:sz w:val="24"/>
                <w:szCs w:val="24"/>
                <w:lang w:val="en-US" w:eastAsia="zh-CN" w:bidi="ar-SA"/>
              </w:rPr>
              <w:t>4.9.4</w:t>
            </w:r>
            <w:r>
              <w:rPr>
                <w:rFonts w:hint="default" w:ascii="Times New Roman" w:hAnsi="Times New Roman" w:eastAsia="宋体" w:cs="Times New Roman"/>
                <w:b/>
                <w:bCs/>
                <w:color w:val="auto"/>
                <w:kern w:val="0"/>
                <w:sz w:val="24"/>
                <w:szCs w:val="24"/>
                <w:lang w:val="en-US" w:eastAsia="zh-CN" w:bidi="ar-SA"/>
              </w:rPr>
              <w:t>.1 施工期对地下水环境影响分析</w:t>
            </w:r>
            <w:bookmarkEnd w:id="19"/>
            <w:bookmarkEnd w:id="20"/>
            <w:bookmarkEnd w:id="21"/>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lang w:val="en-US" w:eastAsia="zh-CN"/>
              </w:rPr>
            </w:pPr>
            <w:bookmarkStart w:id="22" w:name="_Toc14568"/>
            <w:bookmarkStart w:id="23" w:name="_Toc436313201"/>
            <w:r>
              <w:rPr>
                <w:rFonts w:hint="default" w:ascii="Times New Roman" w:hAnsi="Times New Roman" w:eastAsia="宋体" w:cs="Times New Roman"/>
                <w:color w:val="auto"/>
                <w:sz w:val="24"/>
                <w:lang w:val="en-US" w:eastAsia="zh-CN"/>
              </w:rPr>
              <w:t>施工期废水主要是来自建（构）筑物施工及道路硬化等过程中砂石料加工、混凝土搅拌、车辆、设备冲洗等产生的施工废水以及施工人员排放的生活污水。此外，本项目拟建污水处理厂界距离</w:t>
            </w:r>
            <w:r>
              <w:rPr>
                <w:rFonts w:hint="eastAsia" w:ascii="Times New Roman" w:hAnsi="Times New Roman" w:eastAsia="宋体" w:cs="Times New Roman"/>
                <w:color w:val="auto"/>
                <w:sz w:val="24"/>
                <w:lang w:val="en-US" w:eastAsia="zh-CN"/>
              </w:rPr>
              <w:t>滹沱河</w:t>
            </w:r>
            <w:r>
              <w:rPr>
                <w:rFonts w:hint="default" w:ascii="Times New Roman" w:hAnsi="Times New Roman" w:eastAsia="宋体" w:cs="Times New Roman"/>
                <w:color w:val="auto"/>
                <w:sz w:val="24"/>
                <w:lang w:val="en-US" w:eastAsia="zh-CN"/>
              </w:rPr>
              <w:t>10</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m，施工废水如不妥善控制及处理，可能会对工程临近的</w:t>
            </w:r>
            <w:r>
              <w:rPr>
                <w:rFonts w:hint="eastAsia" w:ascii="Times New Roman" w:hAnsi="Times New Roman" w:eastAsia="宋体" w:cs="Times New Roman"/>
                <w:color w:val="auto"/>
                <w:sz w:val="24"/>
                <w:lang w:val="en-US" w:eastAsia="zh-CN"/>
              </w:rPr>
              <w:t>滹沱河</w:t>
            </w:r>
            <w:r>
              <w:rPr>
                <w:rFonts w:hint="default" w:ascii="Times New Roman" w:hAnsi="Times New Roman" w:eastAsia="宋体" w:cs="Times New Roman"/>
                <w:color w:val="auto"/>
                <w:sz w:val="24"/>
                <w:lang w:val="en-US" w:eastAsia="zh-CN"/>
              </w:rPr>
              <w:t>造成不良影响。</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为避免工程施工对</w:t>
            </w:r>
            <w:r>
              <w:rPr>
                <w:rFonts w:hint="eastAsia" w:ascii="Times New Roman" w:hAnsi="Times New Roman" w:eastAsia="宋体" w:cs="Times New Roman"/>
                <w:color w:val="auto"/>
                <w:sz w:val="24"/>
                <w:lang w:val="en-US" w:eastAsia="zh-CN"/>
              </w:rPr>
              <w:t>滹沱河</w:t>
            </w:r>
            <w:r>
              <w:rPr>
                <w:rFonts w:hint="default" w:ascii="Times New Roman" w:hAnsi="Times New Roman" w:eastAsia="宋体" w:cs="Times New Roman"/>
                <w:color w:val="auto"/>
                <w:sz w:val="24"/>
                <w:lang w:val="en-US" w:eastAsia="zh-CN"/>
              </w:rPr>
              <w:t>造成不良影响，评价要求对施工过程中产生的废水要进行严格的控制和处理，设施工废水收集池，加强施工废水重复利用，不得排入</w:t>
            </w:r>
            <w:r>
              <w:rPr>
                <w:rFonts w:hint="eastAsia" w:ascii="Times New Roman" w:hAnsi="Times New Roman" w:eastAsia="宋体" w:cs="Times New Roman"/>
                <w:color w:val="auto"/>
                <w:sz w:val="24"/>
                <w:lang w:val="en-US" w:eastAsia="zh-CN"/>
              </w:rPr>
              <w:t>滹沱河</w:t>
            </w:r>
            <w:r>
              <w:rPr>
                <w:rFonts w:hint="default" w:ascii="Times New Roman" w:hAnsi="Times New Roman" w:eastAsia="宋体" w:cs="Times New Roman"/>
                <w:color w:val="auto"/>
                <w:sz w:val="24"/>
                <w:lang w:val="en-US" w:eastAsia="zh-CN"/>
              </w:rPr>
              <w:t>；工程区所在区域地下水类型富水性为</w:t>
            </w:r>
            <w:r>
              <w:rPr>
                <w:rFonts w:hint="eastAsia" w:ascii="Times New Roman" w:hAnsi="Times New Roman" w:eastAsia="宋体" w:cs="Times New Roman"/>
                <w:color w:val="auto"/>
                <w:sz w:val="24"/>
                <w:lang w:val="en-US" w:eastAsia="zh-CN"/>
              </w:rPr>
              <w:t>中等</w:t>
            </w:r>
            <w:r>
              <w:rPr>
                <w:rFonts w:hint="default" w:ascii="Times New Roman" w:hAnsi="Times New Roman" w:eastAsia="宋体" w:cs="Times New Roman"/>
                <w:color w:val="auto"/>
                <w:sz w:val="24"/>
                <w:lang w:val="en-US" w:eastAsia="zh-CN"/>
              </w:rPr>
              <w:t>，不会造成大量的地下涌水，即使有部分地下水外渗，由于一般为浅层地下水，和周围的地表水联系较为密切，水质一般均优于区域地表水水质，经简单沉淀后可直排区域地表水体或用于区域农灌；不会对周围水体产生不利影响。本项目挖深较浅</w:t>
            </w:r>
            <w:r>
              <w:rPr>
                <w:rFonts w:hint="eastAsia" w:ascii="Times New Roman" w:hAnsi="Times New Roman" w:eastAsia="宋体" w:cs="Times New Roman"/>
                <w:color w:val="auto"/>
                <w:sz w:val="24"/>
                <w:lang w:val="en-US" w:eastAsia="zh-CN"/>
              </w:rPr>
              <w:t>（≤4m），</w:t>
            </w:r>
            <w:r>
              <w:rPr>
                <w:rFonts w:hint="default" w:ascii="Times New Roman" w:hAnsi="Times New Roman" w:eastAsia="宋体" w:cs="Times New Roman"/>
                <w:color w:val="auto"/>
                <w:sz w:val="24"/>
                <w:lang w:val="en-US" w:eastAsia="zh-CN"/>
              </w:rPr>
              <w:t>不会干扰周围</w:t>
            </w:r>
            <w:r>
              <w:rPr>
                <w:rFonts w:hint="eastAsia" w:ascii="Times New Roman" w:hAnsi="Times New Roman" w:eastAsia="宋体" w:cs="Times New Roman"/>
                <w:color w:val="auto"/>
                <w:sz w:val="24"/>
                <w:lang w:val="en-US" w:eastAsia="zh-CN"/>
              </w:rPr>
              <w:t>黏土层</w:t>
            </w:r>
            <w:r>
              <w:rPr>
                <w:rFonts w:hint="default" w:ascii="Times New Roman" w:hAnsi="Times New Roman" w:eastAsia="宋体" w:cs="Times New Roman"/>
                <w:color w:val="auto"/>
                <w:sz w:val="24"/>
                <w:lang w:val="en-US" w:eastAsia="zh-CN"/>
              </w:rPr>
              <w:t>的平衡，不会导致地下水涌出，因此工程建设对地下水环境影响轻微。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采取以上措施后，污水处理项目施工不会对区域地下水环境造成不良影响。</w:t>
            </w:r>
          </w:p>
          <w:p>
            <w:pPr>
              <w:pStyle w:val="5"/>
              <w:keepNext/>
              <w:keepLines/>
              <w:pageBreakBefore w:val="0"/>
              <w:widowControl w:val="0"/>
              <w:kinsoku/>
              <w:wordWrap/>
              <w:overflowPunct/>
              <w:topLinePunct w:val="0"/>
              <w:autoSpaceDE/>
              <w:autoSpaceDN/>
              <w:bidi w:val="0"/>
              <w:adjustRightInd/>
              <w:snapToGrid/>
              <w:spacing w:before="0" w:after="0" w:line="360" w:lineRule="auto"/>
              <w:ind w:firstLine="0" w:firstLineChars="0"/>
              <w:textAlignment w:val="auto"/>
              <w:rPr>
                <w:rFonts w:hint="default" w:cs="Times New Roman"/>
                <w:b/>
                <w:bCs/>
                <w:color w:val="auto"/>
                <w:kern w:val="0"/>
                <w:sz w:val="24"/>
                <w:szCs w:val="24"/>
                <w:lang w:val="en-US" w:eastAsia="zh-CN" w:bidi="ar-SA"/>
              </w:rPr>
            </w:pPr>
            <w:bookmarkStart w:id="24" w:name="_Toc5538"/>
            <w:r>
              <w:rPr>
                <w:rFonts w:hint="eastAsia" w:cs="Times New Roman"/>
                <w:b/>
                <w:bCs/>
                <w:color w:val="auto"/>
                <w:kern w:val="0"/>
                <w:sz w:val="24"/>
                <w:szCs w:val="24"/>
                <w:lang w:val="en-US" w:eastAsia="zh-CN" w:bidi="ar-SA"/>
              </w:rPr>
              <w:t>4.9.4</w:t>
            </w:r>
            <w:r>
              <w:rPr>
                <w:rFonts w:hint="default" w:cs="Times New Roman"/>
                <w:b/>
                <w:bCs/>
                <w:color w:val="auto"/>
                <w:kern w:val="0"/>
                <w:sz w:val="24"/>
                <w:szCs w:val="24"/>
                <w:lang w:val="en-US" w:eastAsia="zh-CN" w:bidi="ar-SA"/>
              </w:rPr>
              <w:t>.2运营期地下水环境影响评价</w:t>
            </w:r>
            <w:bookmarkEnd w:id="22"/>
            <w:bookmarkEnd w:id="23"/>
            <w:bookmarkEnd w:id="24"/>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运营期污水处理的生产废水主要包括化验排水、车间地面清洗排水、污泥脱水机房排水等。按照设计，厂区生活污水及生产废水排放全部通过厂内污水管道系统收集，汇入厂区泵房，与进厂污水共同进入污水处理系统处理后达标排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（1）对区域浅层地下水的影响分析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本项目所有污水全部通过管网进入污水处理厂进行处理，</w:t>
            </w:r>
            <w:r>
              <w:rPr>
                <w:rFonts w:hint="eastAsia" w:ascii="Times New Roman" w:hAnsi="Times New Roman" w:eastAsia="宋体" w:cs="Times New Roman"/>
                <w:color w:val="auto"/>
                <w:sz w:val="24"/>
                <w:lang w:val="en-US" w:eastAsia="zh-CN"/>
              </w:rPr>
              <w:t>处理达标回部分回用，剩余部分排入滹沱河</w:t>
            </w:r>
            <w:r>
              <w:rPr>
                <w:rFonts w:hint="default" w:ascii="Times New Roman" w:hAnsi="Times New Roman" w:eastAsia="宋体" w:cs="Times New Roman"/>
                <w:color w:val="auto"/>
                <w:sz w:val="24"/>
                <w:lang w:val="en-US" w:eastAsia="zh-CN"/>
              </w:rPr>
              <w:t>。污水处理设施进行符合要求的防渗处理，正常工况下污染物不会渗漏外流，此外，通过配套管网工程的建设，可改善区域生活污水直排现状，大大削弱了直排污水下渗造成的区域地下水污染风险，因此，项目的实施对区域地下水保护具有积极的正面效应。</w:t>
            </w:r>
          </w:p>
          <w:p>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（2）对集中饮用水源的影响</w:t>
            </w:r>
          </w:p>
          <w:p>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本项目评价范围内不涉及水源地，距离最近的集中供水水源地为</w:t>
            </w:r>
            <w:r>
              <w:rPr>
                <w:rFonts w:hint="eastAsia" w:ascii="Times New Roman" w:hAnsi="Times New Roman" w:eastAsia="宋体" w:cs="Times New Roman"/>
                <w:color w:val="auto"/>
                <w:sz w:val="24"/>
                <w:lang w:val="en-US" w:eastAsia="zh-CN"/>
              </w:rPr>
              <w:t>东</w:t>
            </w:r>
            <w:r>
              <w:rPr>
                <w:rFonts w:hint="default" w:ascii="Times New Roman" w:hAnsi="Times New Roman" w:eastAsia="宋体" w:cs="Times New Roman"/>
                <w:color w:val="auto"/>
                <w:sz w:val="24"/>
                <w:lang w:val="en-US" w:eastAsia="zh-CN"/>
              </w:rPr>
              <w:t>南方向的</w:t>
            </w:r>
            <w:r>
              <w:rPr>
                <w:rFonts w:hint="eastAsia" w:ascii="Times New Roman" w:hAnsi="Times New Roman" w:eastAsia="宋体" w:cs="Times New Roman"/>
                <w:color w:val="auto"/>
                <w:sz w:val="24"/>
                <w:lang w:val="en-US" w:eastAsia="zh-CN"/>
              </w:rPr>
              <w:t>杏园镇集中供水水源地</w:t>
            </w:r>
            <w:r>
              <w:rPr>
                <w:rFonts w:hint="default" w:ascii="Times New Roman" w:hAnsi="Times New Roman" w:eastAsia="宋体" w:cs="Times New Roman"/>
                <w:color w:val="auto"/>
                <w:sz w:val="24"/>
                <w:lang w:val="en-US" w:eastAsia="zh-CN"/>
              </w:rPr>
              <w:t>，约4.</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km。本项目正常状态下所有污水达标后部分回用，部分排入</w:t>
            </w:r>
            <w:r>
              <w:rPr>
                <w:rFonts w:hint="eastAsia" w:ascii="Times New Roman" w:hAnsi="Times New Roman" w:eastAsia="宋体" w:cs="Times New Roman"/>
                <w:color w:val="auto"/>
                <w:sz w:val="24"/>
                <w:lang w:val="en-US" w:eastAsia="zh-CN"/>
              </w:rPr>
              <w:t>滹沱河</w:t>
            </w:r>
            <w:r>
              <w:rPr>
                <w:rFonts w:hint="default" w:ascii="Times New Roman" w:hAnsi="Times New Roman" w:eastAsia="宋体" w:cs="Times New Roman"/>
                <w:color w:val="auto"/>
                <w:sz w:val="24"/>
                <w:lang w:val="en-US" w:eastAsia="zh-CN"/>
              </w:rPr>
              <w:t>，不会对集中饮用水源地产生污染影响；事故状况下，污水渗漏主要沿潜水层水流方向向下游方向运移，不会对集中饮用水源地造成影响。</w:t>
            </w:r>
          </w:p>
          <w:p>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（3）对分散饮用水源井的影响</w:t>
            </w:r>
          </w:p>
          <w:p>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本项目正常状态下所有污水达标后部分回用，多余部分排入</w:t>
            </w:r>
            <w:r>
              <w:rPr>
                <w:rFonts w:hint="eastAsia" w:ascii="Times New Roman" w:hAnsi="Times New Roman" w:eastAsia="宋体" w:cs="Times New Roman"/>
                <w:color w:val="auto"/>
                <w:sz w:val="24"/>
                <w:lang w:val="en-US" w:eastAsia="zh-CN"/>
              </w:rPr>
              <w:t>滹沱河</w:t>
            </w:r>
            <w:r>
              <w:rPr>
                <w:rFonts w:hint="default" w:ascii="Times New Roman" w:hAnsi="Times New Roman" w:eastAsia="宋体" w:cs="Times New Roman"/>
                <w:color w:val="auto"/>
                <w:sz w:val="24"/>
                <w:lang w:val="en-US" w:eastAsia="zh-CN"/>
              </w:rPr>
              <w:t>，不会对分散饮用水源井产生污染影响。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综上所述，正常工况下，在严格按照设计要求落实好环保、防渗措施的情况下，基本不会对当地浅层地下水造成影响。非正常状况下，污染物对地下水的影响范围和影响程度较大，由于地下水一旦污染就很难恢复，因此，项目建设前，应对污水处理构筑物等设施采取严格的防腐防渗措施。同时，为了地下水能长期受到保护，在发生污染物泄漏事故后，必须立即启动应急预案，分析污染事故的发展趋势，并提出下一步防治措施。</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4.9.</w:t>
            </w:r>
            <w:r>
              <w:rPr>
                <w:rFonts w:hint="eastAsia" w:ascii="Times New Roman" w:hAnsi="Times New Roman" w:eastAsia="宋体" w:cs="Times New Roman"/>
                <w:b/>
                <w:bCs/>
                <w:color w:val="auto"/>
                <w:kern w:val="0"/>
                <w:sz w:val="24"/>
                <w:szCs w:val="24"/>
                <w:lang w:val="en-US" w:eastAsia="zh-CN"/>
              </w:rPr>
              <w:t>5</w:t>
            </w:r>
            <w:r>
              <w:rPr>
                <w:rFonts w:ascii="Times New Roman" w:hAnsi="Times New Roman" w:eastAsia="宋体" w:cs="Times New Roman"/>
                <w:b/>
                <w:bCs/>
                <w:color w:val="auto"/>
                <w:kern w:val="0"/>
                <w:sz w:val="24"/>
                <w:szCs w:val="24"/>
              </w:rPr>
              <w:t>地下水污染防治措施</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地下水污染防治主要是以预防为主，防治结合。</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1、源头控制措施</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加强清洁生产工作，从源头上减少“三废”产生量，减少环境负担。</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2、分区防控</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渗透污染是导致地下水污染的普遍和主要方式，主要产生可能性来自事故排放。本项目的地下水潜在污染源</w:t>
            </w:r>
            <w:r>
              <w:rPr>
                <w:rFonts w:hint="eastAsia" w:ascii="Times New Roman" w:hAnsi="Times New Roman" w:eastAsia="宋体" w:cs="Times New Roman"/>
                <w:color w:val="auto"/>
                <w:kern w:val="0"/>
                <w:sz w:val="24"/>
                <w:szCs w:val="24"/>
                <w:lang w:eastAsia="zh-CN"/>
              </w:rPr>
              <w:t>来自</w:t>
            </w:r>
            <w:r>
              <w:rPr>
                <w:rFonts w:ascii="Times New Roman" w:hAnsi="Times New Roman" w:eastAsia="宋体" w:cs="Times New Roman"/>
                <w:color w:val="auto"/>
                <w:kern w:val="0"/>
                <w:sz w:val="24"/>
                <w:szCs w:val="24"/>
              </w:rPr>
              <w:t>废水处理设施等，结合地下水导则，针对厂区各工作区特点和岩土层情况，提出相应的分区防渗要求。</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做好事故安全工作，将污染物泄漏环境风险事故降到最低。</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加强厂区及地面的防渗漏措施</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加强管道接口的严密性</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特别是污水收集管路</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，杜绝“跑、冒、滴、漏” 现象。</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做好废水处理设施的防渗漏措施。</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做好固废堆场的防雨、防渗漏措施。</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防止地面积水，在易积水的地面，按防渗漏地面要求设计。</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⑤</w:t>
            </w:r>
            <w:r>
              <w:rPr>
                <w:rFonts w:ascii="Times New Roman" w:hAnsi="Times New Roman" w:eastAsia="宋体" w:cs="Times New Roman"/>
                <w:color w:val="auto"/>
                <w:kern w:val="0"/>
                <w:sz w:val="24"/>
                <w:szCs w:val="24"/>
              </w:rPr>
              <w:t>排水沟要采用钢筋混凝土结构建设。</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⑥</w:t>
            </w:r>
            <w:r>
              <w:rPr>
                <w:rFonts w:ascii="Times New Roman" w:hAnsi="Times New Roman" w:eastAsia="宋体" w:cs="Times New Roman"/>
                <w:color w:val="auto"/>
                <w:kern w:val="0"/>
                <w:sz w:val="24"/>
                <w:szCs w:val="24"/>
              </w:rPr>
              <w:t>加强检查，防水设施及地埋管道要定期检查，防渗漏地面、排水沟和雨水沟要定期检查，防止出现地面裂痕，并及时修补。</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⑦</w:t>
            </w:r>
            <w:r>
              <w:rPr>
                <w:rFonts w:ascii="Times New Roman" w:hAnsi="Times New Roman" w:eastAsia="宋体" w:cs="Times New Roman"/>
                <w:color w:val="auto"/>
                <w:kern w:val="0"/>
                <w:sz w:val="24"/>
                <w:szCs w:val="24"/>
              </w:rPr>
              <w:t>制订相关的防水、防渗漏设施及地面的维护管理制度。</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 4-1</w:t>
            </w:r>
            <w:r>
              <w:rPr>
                <w:rFonts w:hint="eastAsia" w:ascii="Times New Roman" w:hAnsi="Times New Roman" w:eastAsia="宋体"/>
                <w:color w:val="auto"/>
                <w:sz w:val="24"/>
                <w:szCs w:val="24"/>
                <w:lang w:val="en-US" w:eastAsia="zh-CN"/>
              </w:rPr>
              <w:t>7</w:t>
            </w:r>
            <w:r>
              <w:rPr>
                <w:rFonts w:ascii="Times New Roman" w:hAnsi="Times New Roman" w:eastAsia="宋体"/>
                <w:color w:val="auto"/>
                <w:sz w:val="24"/>
                <w:szCs w:val="24"/>
              </w:rPr>
              <w:t xml:space="preserve">  企业各功能单元分区防渗要求</w:t>
            </w:r>
          </w:p>
          <w:tbl>
            <w:tblPr>
              <w:tblStyle w:val="45"/>
              <w:tblW w:w="8593"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61"/>
              <w:gridCol w:w="3841"/>
              <w:gridCol w:w="33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36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pacing w:line="240" w:lineRule="auto"/>
                    <w:ind w:left="0" w:right="0" w:firstLine="0" w:firstLineChars="0"/>
                    <w:jc w:val="center"/>
                    <w:textAlignment w:val="auto"/>
                    <w:rPr>
                      <w:rFonts w:eastAsia="宋体"/>
                      <w:b/>
                      <w:bCs/>
                      <w:color w:val="auto"/>
                      <w:sz w:val="21"/>
                      <w:szCs w:val="21"/>
                      <w:lang w:eastAsia="en-US"/>
                    </w:rPr>
                  </w:pPr>
                  <w:bookmarkStart w:id="25" w:name="_Hlk91757959"/>
                  <w:r>
                    <w:rPr>
                      <w:rFonts w:eastAsia="宋体"/>
                      <w:b/>
                      <w:bCs/>
                      <w:color w:val="auto"/>
                      <w:sz w:val="21"/>
                      <w:szCs w:val="21"/>
                      <w:lang w:eastAsia="en-US"/>
                    </w:rPr>
                    <w:t>防渗级别</w:t>
                  </w:r>
                </w:p>
              </w:tc>
              <w:tc>
                <w:tcPr>
                  <w:tcW w:w="38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pacing w:line="240" w:lineRule="auto"/>
                    <w:ind w:left="0" w:right="0" w:firstLine="0" w:firstLineChars="0"/>
                    <w:jc w:val="center"/>
                    <w:textAlignment w:val="auto"/>
                    <w:rPr>
                      <w:rFonts w:eastAsia="宋体"/>
                      <w:b/>
                      <w:bCs/>
                      <w:color w:val="auto"/>
                      <w:sz w:val="21"/>
                      <w:szCs w:val="21"/>
                      <w:lang w:eastAsia="en-US"/>
                    </w:rPr>
                  </w:pPr>
                  <w:r>
                    <w:rPr>
                      <w:rFonts w:eastAsia="宋体"/>
                      <w:b/>
                      <w:bCs/>
                      <w:color w:val="auto"/>
                      <w:sz w:val="21"/>
                      <w:szCs w:val="21"/>
                      <w:lang w:eastAsia="en-US"/>
                    </w:rPr>
                    <w:t>工作区</w:t>
                  </w:r>
                </w:p>
              </w:tc>
              <w:tc>
                <w:tcPr>
                  <w:tcW w:w="339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pacing w:line="240" w:lineRule="auto"/>
                    <w:ind w:left="0" w:right="0" w:firstLine="0" w:firstLineChars="0"/>
                    <w:jc w:val="center"/>
                    <w:textAlignment w:val="auto"/>
                    <w:rPr>
                      <w:rFonts w:eastAsia="宋体"/>
                      <w:b/>
                      <w:bCs/>
                      <w:color w:val="auto"/>
                      <w:sz w:val="21"/>
                      <w:szCs w:val="21"/>
                      <w:lang w:eastAsia="en-US"/>
                    </w:rPr>
                  </w:pPr>
                  <w:r>
                    <w:rPr>
                      <w:rFonts w:eastAsia="宋体"/>
                      <w:b/>
                      <w:bCs/>
                      <w:color w:val="auto"/>
                      <w:sz w:val="21"/>
                      <w:szCs w:val="21"/>
                      <w:lang w:eastAsia="en-US"/>
                    </w:rPr>
                    <w:t>防渗要求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36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pacing w:line="240" w:lineRule="auto"/>
                    <w:ind w:left="0" w:right="0" w:firstLine="0" w:firstLineChars="0"/>
                    <w:jc w:val="center"/>
                    <w:textAlignment w:val="auto"/>
                    <w:rPr>
                      <w:rFonts w:eastAsia="宋体"/>
                      <w:color w:val="auto"/>
                      <w:sz w:val="21"/>
                      <w:szCs w:val="21"/>
                      <w:lang w:eastAsia="en-US"/>
                    </w:rPr>
                  </w:pPr>
                  <w:r>
                    <w:rPr>
                      <w:rFonts w:eastAsia="宋体"/>
                      <w:color w:val="auto"/>
                      <w:sz w:val="21"/>
                      <w:szCs w:val="21"/>
                      <w:lang w:eastAsia="en-US"/>
                    </w:rPr>
                    <w:t>重点防渗区</w:t>
                  </w:r>
                </w:p>
              </w:tc>
              <w:tc>
                <w:tcPr>
                  <w:tcW w:w="384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hAnsi="Times New Roman" w:eastAsia="宋体" w:cs="Times New Roman"/>
                      <w:color w:val="auto"/>
                      <w:kern w:val="0"/>
                      <w:sz w:val="21"/>
                      <w:szCs w:val="21"/>
                      <w:lang w:eastAsia="zh-CN"/>
                    </w:rPr>
                  </w:pPr>
                  <w:r>
                    <w:rPr>
                      <w:rFonts w:ascii="Times New Roman" w:hAnsi="Times New Roman" w:eastAsia="宋体" w:cs="Times New Roman"/>
                      <w:color w:val="auto"/>
                      <w:kern w:val="0"/>
                      <w:sz w:val="21"/>
                      <w:szCs w:val="21"/>
                      <w:lang w:eastAsia="zh-CN"/>
                    </w:rPr>
                    <w:t>格栅间、生化池、</w:t>
                  </w:r>
                  <w:r>
                    <w:rPr>
                      <w:rFonts w:hint="eastAsia" w:ascii="Times New Roman" w:hAnsi="Times New Roman" w:eastAsia="宋体" w:cs="Times New Roman"/>
                      <w:color w:val="auto"/>
                      <w:kern w:val="0"/>
                      <w:sz w:val="21"/>
                      <w:szCs w:val="21"/>
                      <w:lang w:val="en-US" w:eastAsia="zh-CN"/>
                    </w:rPr>
                    <w:t>二沉池</w:t>
                  </w:r>
                  <w:r>
                    <w:rPr>
                      <w:rFonts w:ascii="Times New Roman" w:hAnsi="Times New Roman" w:eastAsia="宋体" w:cs="Times New Roman"/>
                      <w:color w:val="auto"/>
                      <w:kern w:val="0"/>
                      <w:sz w:val="21"/>
                      <w:szCs w:val="21"/>
                      <w:lang w:eastAsia="zh-CN"/>
                    </w:rPr>
                    <w:t>、储泥池、污泥脱水间</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V型滤池以及高效沉淀池</w:t>
                  </w:r>
                  <w:r>
                    <w:rPr>
                      <w:rFonts w:ascii="Times New Roman" w:hAnsi="Times New Roman" w:eastAsia="宋体" w:cs="Times New Roman"/>
                      <w:color w:val="auto"/>
                      <w:kern w:val="0"/>
                      <w:sz w:val="21"/>
                      <w:szCs w:val="21"/>
                      <w:lang w:eastAsia="zh-CN"/>
                    </w:rPr>
                    <w:t>等</w:t>
                  </w:r>
                </w:p>
              </w:tc>
              <w:tc>
                <w:tcPr>
                  <w:tcW w:w="33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ascii="Times New Roman" w:hAnsi="Times New Roman" w:eastAsia="宋体" w:cs="Times New Roman"/>
                      <w:color w:val="auto"/>
                      <w:kern w:val="0"/>
                      <w:sz w:val="21"/>
                      <w:szCs w:val="21"/>
                      <w:lang w:eastAsia="zh-CN"/>
                    </w:rPr>
                  </w:pPr>
                  <w:r>
                    <w:rPr>
                      <w:rFonts w:ascii="Times New Roman" w:hAnsi="Times New Roman" w:eastAsia="宋体" w:cs="Times New Roman"/>
                      <w:color w:val="auto"/>
                      <w:kern w:val="0"/>
                      <w:sz w:val="21"/>
                      <w:szCs w:val="21"/>
                      <w:lang w:eastAsia="zh-CN"/>
                    </w:rPr>
                    <w:t>等效粘土防渗层 Mb≥6.0m，</w:t>
                  </w:r>
                </w:p>
                <w:p>
                  <w:pPr>
                    <w:pStyle w:val="41"/>
                    <w:keepNext w:val="0"/>
                    <w:keepLines w:val="0"/>
                    <w:pageBreakBefore w:val="0"/>
                    <w:widowControl w:val="0"/>
                    <w:kinsoku/>
                    <w:wordWrap/>
                    <w:overflowPunct/>
                    <w:topLinePunct w:val="0"/>
                    <w:autoSpaceDE w:val="0"/>
                    <w:autoSpaceDN w:val="0"/>
                    <w:bidi w:val="0"/>
                    <w:adjustRightInd w:val="0"/>
                    <w:spacing w:line="240" w:lineRule="auto"/>
                    <w:ind w:left="0" w:right="0" w:firstLine="0" w:firstLineChars="0"/>
                    <w:jc w:val="center"/>
                    <w:textAlignment w:val="auto"/>
                    <w:rPr>
                      <w:rFonts w:eastAsia="宋体"/>
                      <w:color w:val="auto"/>
                      <w:sz w:val="21"/>
                      <w:szCs w:val="21"/>
                      <w:lang w:eastAsia="zh-CN"/>
                    </w:rPr>
                  </w:pPr>
                  <w:r>
                    <w:rPr>
                      <w:rFonts w:eastAsia="宋体"/>
                      <w:color w:val="auto"/>
                      <w:sz w:val="21"/>
                      <w:szCs w:val="21"/>
                      <w:lang w:eastAsia="zh-CN"/>
                    </w:rPr>
                    <w:t>K≤10</w:t>
                  </w:r>
                  <w:r>
                    <w:rPr>
                      <w:rFonts w:eastAsia="宋体"/>
                      <w:color w:val="auto"/>
                      <w:sz w:val="21"/>
                      <w:szCs w:val="21"/>
                      <w:vertAlign w:val="superscript"/>
                      <w:lang w:eastAsia="zh-CN"/>
                    </w:rPr>
                    <w:t>-7</w:t>
                  </w:r>
                  <w:r>
                    <w:rPr>
                      <w:rFonts w:eastAsia="宋体"/>
                      <w:color w:val="auto"/>
                      <w:sz w:val="21"/>
                      <w:szCs w:val="21"/>
                      <w:lang w:eastAsia="zh-CN"/>
                    </w:rPr>
                    <w:t>cm/s，或参照 GB18598 执行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36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pacing w:line="240" w:lineRule="auto"/>
                    <w:ind w:left="0" w:right="0" w:firstLine="0" w:firstLineChars="0"/>
                    <w:jc w:val="center"/>
                    <w:textAlignment w:val="auto"/>
                    <w:rPr>
                      <w:rFonts w:hint="eastAsia" w:eastAsia="宋体"/>
                      <w:color w:val="auto"/>
                      <w:sz w:val="21"/>
                      <w:szCs w:val="21"/>
                      <w:lang w:val="en-US" w:eastAsia="zh-CN"/>
                    </w:rPr>
                  </w:pPr>
                  <w:r>
                    <w:rPr>
                      <w:rFonts w:hint="eastAsia" w:eastAsia="宋体"/>
                      <w:color w:val="auto"/>
                      <w:sz w:val="21"/>
                      <w:szCs w:val="21"/>
                      <w:lang w:val="en-US" w:eastAsia="zh-CN"/>
                    </w:rPr>
                    <w:t>一般防渗区</w:t>
                  </w:r>
                </w:p>
              </w:tc>
              <w:tc>
                <w:tcPr>
                  <w:tcW w:w="384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消毒池、出水部分</w:t>
                  </w:r>
                </w:p>
              </w:tc>
              <w:tc>
                <w:tcPr>
                  <w:tcW w:w="339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pacing w:line="240" w:lineRule="auto"/>
                    <w:ind w:left="0" w:right="0" w:firstLine="0" w:firstLineChars="0"/>
                    <w:jc w:val="center"/>
                    <w:textAlignment w:val="auto"/>
                    <w:rPr>
                      <w:rFonts w:eastAsia="宋体"/>
                      <w:color w:val="auto"/>
                      <w:sz w:val="21"/>
                      <w:szCs w:val="21"/>
                      <w:lang w:eastAsia="zh-CN"/>
                    </w:rPr>
                  </w:pPr>
                  <w:r>
                    <w:rPr>
                      <w:rFonts w:hint="eastAsia" w:eastAsia="宋体"/>
                      <w:color w:val="auto"/>
                      <w:sz w:val="21"/>
                      <w:szCs w:val="21"/>
                      <w:lang w:eastAsia="zh-CN"/>
                    </w:rPr>
                    <w:t>水池采用刚性防渗结构，水泥基渗透结晶型抗渗混凝土（厚度不小于150mm）＋水泥基渗透结晶型抗防渗涂层（厚度不小于0.8mm）结构形式，渗透系数不应大于1.0</w:t>
                  </w:r>
                  <w:r>
                    <w:rPr>
                      <w:rFonts w:eastAsia="宋体"/>
                      <w:color w:val="auto"/>
                      <w:sz w:val="21"/>
                      <w:szCs w:val="21"/>
                      <w:lang w:eastAsia="zh-CN"/>
                    </w:rPr>
                    <w:t>×</w:t>
                  </w:r>
                  <w:r>
                    <w:rPr>
                      <w:rFonts w:hint="eastAsia" w:eastAsia="宋体"/>
                      <w:color w:val="auto"/>
                      <w:sz w:val="21"/>
                      <w:szCs w:val="21"/>
                      <w:lang w:eastAsia="zh-CN"/>
                    </w:rPr>
                    <w:t>10</w:t>
                  </w:r>
                  <w:r>
                    <w:rPr>
                      <w:rFonts w:hint="eastAsia" w:eastAsia="宋体"/>
                      <w:color w:val="auto"/>
                      <w:sz w:val="21"/>
                      <w:szCs w:val="21"/>
                      <w:vertAlign w:val="superscript"/>
                      <w:lang w:eastAsia="zh-CN"/>
                    </w:rPr>
                    <w:t>-10</w:t>
                  </w:r>
                  <w:r>
                    <w:rPr>
                      <w:rFonts w:hint="eastAsia" w:eastAsia="宋体"/>
                      <w:color w:val="auto"/>
                      <w:sz w:val="21"/>
                      <w:szCs w:val="21"/>
                      <w:lang w:eastAsia="zh-CN"/>
                    </w:rPr>
                    <w:t>cm/s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36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pacing w:line="240" w:lineRule="auto"/>
                    <w:ind w:left="0" w:right="0" w:firstLine="0" w:firstLineChars="0"/>
                    <w:jc w:val="center"/>
                    <w:textAlignment w:val="auto"/>
                    <w:rPr>
                      <w:rFonts w:eastAsia="宋体"/>
                      <w:color w:val="auto"/>
                      <w:sz w:val="21"/>
                      <w:szCs w:val="21"/>
                      <w:lang w:eastAsia="en-US"/>
                    </w:rPr>
                  </w:pPr>
                  <w:r>
                    <w:rPr>
                      <w:rFonts w:eastAsia="宋体"/>
                      <w:color w:val="auto"/>
                      <w:sz w:val="21"/>
                      <w:szCs w:val="21"/>
                      <w:lang w:eastAsia="en-US"/>
                    </w:rPr>
                    <w:t>简单防渗区</w:t>
                  </w:r>
                </w:p>
              </w:tc>
              <w:tc>
                <w:tcPr>
                  <w:tcW w:w="384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pacing w:line="240" w:lineRule="auto"/>
                    <w:ind w:left="0" w:right="0" w:firstLine="0" w:firstLineChars="0"/>
                    <w:jc w:val="center"/>
                    <w:textAlignment w:val="auto"/>
                    <w:rPr>
                      <w:rFonts w:eastAsia="宋体"/>
                      <w:color w:val="auto"/>
                      <w:sz w:val="21"/>
                      <w:szCs w:val="21"/>
                      <w:lang w:eastAsia="zh-CN"/>
                    </w:rPr>
                  </w:pPr>
                  <w:r>
                    <w:rPr>
                      <w:rFonts w:eastAsia="宋体"/>
                      <w:color w:val="auto"/>
                      <w:sz w:val="21"/>
                      <w:szCs w:val="21"/>
                      <w:lang w:eastAsia="zh-CN"/>
                    </w:rPr>
                    <w:t>厂区道路、辅助办公用房等</w:t>
                  </w:r>
                </w:p>
              </w:tc>
              <w:tc>
                <w:tcPr>
                  <w:tcW w:w="339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pacing w:line="240" w:lineRule="auto"/>
                    <w:ind w:left="0" w:right="0" w:firstLine="0" w:firstLineChars="0"/>
                    <w:jc w:val="center"/>
                    <w:textAlignment w:val="auto"/>
                    <w:rPr>
                      <w:rFonts w:eastAsia="宋体"/>
                      <w:color w:val="auto"/>
                      <w:sz w:val="21"/>
                      <w:szCs w:val="21"/>
                      <w:lang w:eastAsia="zh-CN"/>
                    </w:rPr>
                  </w:pPr>
                  <w:r>
                    <w:rPr>
                      <w:rFonts w:eastAsia="宋体"/>
                      <w:color w:val="auto"/>
                      <w:sz w:val="21"/>
                      <w:szCs w:val="21"/>
                      <w:lang w:eastAsia="zh-CN"/>
                    </w:rPr>
                    <w:t>一般地面硬化</w:t>
                  </w:r>
                </w:p>
              </w:tc>
            </w:tr>
            <w:bookmarkEnd w:id="25"/>
          </w:tbl>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rPr>
                <w:color w:val="auto"/>
              </w:rPr>
            </w:pPr>
          </w:p>
          <w:p>
            <w:pPr>
              <w:rPr>
                <w:color w:val="auto"/>
              </w:rPr>
            </w:pPr>
            <w:r>
              <w:rPr>
                <w:color w:val="auto"/>
              </w:rPr>
              <w:drawing>
                <wp:anchor distT="0" distB="0" distL="114300" distR="114300" simplePos="0" relativeHeight="251662336" behindDoc="1" locked="0" layoutInCell="1" allowOverlap="1">
                  <wp:simplePos x="0" y="0"/>
                  <wp:positionH relativeFrom="column">
                    <wp:posOffset>327660</wp:posOffset>
                  </wp:positionH>
                  <wp:positionV relativeFrom="paragraph">
                    <wp:posOffset>27940</wp:posOffset>
                  </wp:positionV>
                  <wp:extent cx="4533900" cy="7334250"/>
                  <wp:effectExtent l="0" t="0" r="0" b="0"/>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1"/>
                          <a:stretch>
                            <a:fillRect/>
                          </a:stretch>
                        </pic:blipFill>
                        <pic:spPr>
                          <a:xfrm>
                            <a:off x="0" y="0"/>
                            <a:ext cx="4533900" cy="7334250"/>
                          </a:xfrm>
                          <a:prstGeom prst="rect">
                            <a:avLst/>
                          </a:prstGeom>
                          <a:noFill/>
                          <a:ln>
                            <a:noFill/>
                          </a:ln>
                        </pic:spPr>
                      </pic:pic>
                    </a:graphicData>
                  </a:graphic>
                </wp:anchor>
              </w:drawing>
            </w:r>
          </w:p>
          <w:p>
            <w:pPr>
              <w:rPr>
                <w:color w:val="auto"/>
              </w:rPr>
            </w:pPr>
          </w:p>
          <w:p>
            <w:pPr>
              <w:jc w:val="center"/>
              <w:rPr>
                <w:color w:val="auto"/>
              </w:rPr>
            </w:pPr>
          </w:p>
          <w:p>
            <w:pPr>
              <w:pStyle w:val="22"/>
              <w:rPr>
                <w:color w:val="auto"/>
              </w:rPr>
            </w:pPr>
          </w:p>
          <w:p>
            <w:pPr>
              <w:pStyle w:val="11"/>
              <w:rPr>
                <w:color w:val="auto"/>
              </w:rPr>
            </w:pPr>
          </w:p>
          <w:p>
            <w:pPr>
              <w:rPr>
                <w:color w:val="auto"/>
              </w:rPr>
            </w:pPr>
          </w:p>
          <w:p>
            <w:pPr>
              <w:pStyle w:val="22"/>
              <w:rPr>
                <w:color w:val="auto"/>
              </w:rPr>
            </w:pPr>
          </w:p>
          <w:p>
            <w:pPr>
              <w:pStyle w:val="11"/>
              <w:rPr>
                <w:color w:val="auto"/>
              </w:rPr>
            </w:pPr>
          </w:p>
          <w:p>
            <w:pPr>
              <w:rPr>
                <w:color w:val="auto"/>
              </w:rPr>
            </w:pPr>
          </w:p>
          <w:p>
            <w:pPr>
              <w:pStyle w:val="22"/>
              <w:rPr>
                <w:color w:val="auto"/>
              </w:rPr>
            </w:pPr>
          </w:p>
          <w:p>
            <w:pPr>
              <w:pStyle w:val="11"/>
              <w:rPr>
                <w:color w:val="auto"/>
              </w:rPr>
            </w:pPr>
          </w:p>
          <w:p>
            <w:pPr>
              <w:rPr>
                <w:color w:val="auto"/>
              </w:rPr>
            </w:pPr>
          </w:p>
          <w:p>
            <w:pPr>
              <w:pStyle w:val="22"/>
              <w:rPr>
                <w:color w:val="auto"/>
              </w:rPr>
            </w:pPr>
          </w:p>
          <w:p>
            <w:pPr>
              <w:pStyle w:val="11"/>
              <w:rPr>
                <w:color w:val="auto"/>
              </w:rPr>
            </w:pPr>
          </w:p>
          <w:p>
            <w:pPr>
              <w:rPr>
                <w:color w:val="auto"/>
              </w:rPr>
            </w:pPr>
          </w:p>
          <w:p>
            <w:pPr>
              <w:pStyle w:val="22"/>
              <w:rPr>
                <w:color w:val="auto"/>
              </w:rPr>
            </w:pPr>
          </w:p>
          <w:p>
            <w:pPr>
              <w:pStyle w:val="11"/>
              <w:rPr>
                <w:color w:val="auto"/>
              </w:rPr>
            </w:pPr>
          </w:p>
          <w:p>
            <w:pPr>
              <w:rPr>
                <w:color w:val="auto"/>
              </w:rPr>
            </w:pPr>
          </w:p>
          <w:p>
            <w:pPr>
              <w:pStyle w:val="22"/>
              <w:rPr>
                <w:color w:val="auto"/>
              </w:rPr>
            </w:pPr>
          </w:p>
          <w:p>
            <w:pPr>
              <w:pStyle w:val="11"/>
              <w:rPr>
                <w:color w:val="auto"/>
              </w:rPr>
            </w:pPr>
          </w:p>
          <w:p>
            <w:pPr>
              <w:rPr>
                <w:color w:val="auto"/>
              </w:rPr>
            </w:pPr>
          </w:p>
          <w:p>
            <w:pPr>
              <w:pStyle w:val="22"/>
              <w:rPr>
                <w:color w:val="auto"/>
              </w:rPr>
            </w:pPr>
          </w:p>
          <w:p>
            <w:pPr>
              <w:pStyle w:val="11"/>
              <w:rPr>
                <w:color w:val="auto"/>
              </w:rPr>
            </w:pPr>
          </w:p>
          <w:p>
            <w:pPr>
              <w:rPr>
                <w:color w:val="auto"/>
              </w:rPr>
            </w:pPr>
          </w:p>
          <w:p>
            <w:pPr>
              <w:pStyle w:val="22"/>
              <w:rPr>
                <w:color w:val="auto"/>
              </w:rPr>
            </w:pPr>
          </w:p>
          <w:p>
            <w:pPr>
              <w:pStyle w:val="11"/>
              <w:rPr>
                <w:color w:val="auto"/>
              </w:rPr>
            </w:pPr>
          </w:p>
          <w:p>
            <w:pPr>
              <w:rPr>
                <w:color w:val="auto"/>
              </w:rPr>
            </w:pPr>
          </w:p>
          <w:p>
            <w:pPr>
              <w:pStyle w:val="22"/>
              <w:rPr>
                <w:color w:val="auto"/>
              </w:rPr>
            </w:pPr>
          </w:p>
          <w:p>
            <w:pPr>
              <w:pStyle w:val="11"/>
              <w:rPr>
                <w:color w:val="auto"/>
              </w:rPr>
            </w:pPr>
          </w:p>
          <w:p>
            <w:pPr>
              <w:rPr>
                <w:color w:val="auto"/>
              </w:rPr>
            </w:pPr>
          </w:p>
          <w:p>
            <w:pPr>
              <w:pStyle w:val="22"/>
              <w:rPr>
                <w:color w:val="auto"/>
              </w:rPr>
            </w:pPr>
          </w:p>
          <w:p>
            <w:pPr>
              <w:pStyle w:val="11"/>
              <w:rPr>
                <w:color w:val="auto"/>
              </w:rPr>
            </w:pPr>
          </w:p>
          <w:p>
            <w:pPr>
              <w:rPr>
                <w:color w:val="auto"/>
              </w:rPr>
            </w:pPr>
          </w:p>
          <w:p>
            <w:pPr>
              <w:pStyle w:val="22"/>
              <w:rPr>
                <w:color w:val="auto"/>
              </w:rPr>
            </w:pPr>
          </w:p>
          <w:p>
            <w:pPr>
              <w:pStyle w:val="11"/>
              <w:rPr>
                <w:color w:val="auto"/>
              </w:rPr>
            </w:pPr>
            <w:r>
              <w:rPr>
                <w:color w:val="auto"/>
              </w:rPr>
              <w:drawing>
                <wp:anchor distT="0" distB="0" distL="114300" distR="114300" simplePos="0" relativeHeight="251660288" behindDoc="0" locked="0" layoutInCell="1" allowOverlap="1">
                  <wp:simplePos x="0" y="0"/>
                  <wp:positionH relativeFrom="column">
                    <wp:posOffset>161290</wp:posOffset>
                  </wp:positionH>
                  <wp:positionV relativeFrom="paragraph">
                    <wp:posOffset>113665</wp:posOffset>
                  </wp:positionV>
                  <wp:extent cx="1061720" cy="904875"/>
                  <wp:effectExtent l="12700" t="12700" r="30480" b="15875"/>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2"/>
                          <a:stretch>
                            <a:fillRect/>
                          </a:stretch>
                        </pic:blipFill>
                        <pic:spPr>
                          <a:xfrm>
                            <a:off x="0" y="0"/>
                            <a:ext cx="1061720" cy="904875"/>
                          </a:xfrm>
                          <a:prstGeom prst="rect">
                            <a:avLst/>
                          </a:prstGeom>
                          <a:noFill/>
                          <a:ln w="12700">
                            <a:solidFill>
                              <a:schemeClr val="tx1"/>
                            </a:solidFill>
                          </a:ln>
                        </pic:spPr>
                      </pic:pic>
                    </a:graphicData>
                  </a:graphic>
                </wp:anchor>
              </w:drawing>
            </w:r>
          </w:p>
          <w:p>
            <w:pPr>
              <w:rPr>
                <w:color w:val="auto"/>
              </w:rPr>
            </w:pPr>
          </w:p>
          <w:p>
            <w:pPr>
              <w:pStyle w:val="22"/>
              <w:rPr>
                <w:color w:val="auto"/>
              </w:rPr>
            </w:pPr>
          </w:p>
          <w:p>
            <w:pPr>
              <w:pStyle w:val="11"/>
              <w:rPr>
                <w:color w:val="auto"/>
              </w:rPr>
            </w:pPr>
          </w:p>
          <w:p>
            <w:pPr>
              <w:pStyle w:val="35"/>
              <w:rPr>
                <w:rFonts w:hint="eastAsia" w:ascii="Times New Roman" w:hAnsi="Times New Roman" w:eastAsia="宋体"/>
                <w:color w:val="auto"/>
                <w:lang w:eastAsia="zh-CN"/>
              </w:rPr>
            </w:pPr>
          </w:p>
          <w:p>
            <w:pPr>
              <w:rPr>
                <w:rFonts w:hint="eastAsia" w:ascii="Times New Roman" w:hAnsi="Times New Roman" w:eastAsia="宋体"/>
                <w:color w:val="auto"/>
                <w:lang w:eastAsia="zh-CN"/>
              </w:rPr>
            </w:pPr>
          </w:p>
          <w:p>
            <w:pPr>
              <w:pStyle w:val="19"/>
              <w:rPr>
                <w:rFonts w:hint="eastAsia" w:ascii="Times New Roman" w:hAnsi="Times New Roman" w:eastAsia="宋体"/>
                <w:color w:val="auto"/>
                <w:lang w:eastAsia="zh-CN"/>
              </w:rPr>
            </w:pPr>
          </w:p>
          <w:p>
            <w:pPr>
              <w:pStyle w:val="20"/>
              <w:ind w:left="0" w:leftChars="0" w:right="0" w:rightChars="0" w:firstLine="0" w:firstLineChars="0"/>
              <w:jc w:val="center"/>
              <w:rPr>
                <w:rFonts w:hint="eastAsia" w:ascii="Times New Roman" w:hAnsi="Times New Roman" w:eastAsia="宋体"/>
                <w:color w:val="auto"/>
                <w:lang w:eastAsia="zh-CN"/>
              </w:rPr>
            </w:pPr>
            <w:r>
              <w:rPr>
                <w:rFonts w:ascii="Times New Roman" w:hAnsi="Times New Roman" w:eastAsia="宋体"/>
                <w:b/>
                <w:bCs/>
                <w:color w:val="auto"/>
              </w:rPr>
              <w:t>图 4-1</w:t>
            </w:r>
            <w:r>
              <w:rPr>
                <w:rFonts w:ascii="Times New Roman" w:hAnsi="Times New Roman" w:eastAsia="宋体"/>
                <w:b/>
                <w:bCs/>
                <w:color w:val="auto"/>
              </w:rPr>
              <w:tab/>
            </w:r>
            <w:r>
              <w:rPr>
                <w:rFonts w:ascii="Times New Roman" w:hAnsi="Times New Roman" w:eastAsia="宋体"/>
                <w:b/>
                <w:bCs/>
                <w:color w:val="auto"/>
              </w:rPr>
              <w:t>项目厂区防渗图</w:t>
            </w:r>
          </w:p>
          <w:p>
            <w:pPr>
              <w:pStyle w:val="41"/>
              <w:spacing w:before="2"/>
              <w:ind w:left="588"/>
              <w:rPr>
                <w:rFonts w:eastAsia="宋体"/>
                <w:color w:val="auto"/>
              </w:rPr>
            </w:pPr>
          </w:p>
          <w:p>
            <w:pPr>
              <w:pStyle w:val="41"/>
              <w:keepNext w:val="0"/>
              <w:keepLines w:val="0"/>
              <w:pageBreakBefore w:val="0"/>
              <w:widowControl w:val="0"/>
              <w:kinsoku/>
              <w:wordWrap/>
              <w:overflowPunct/>
              <w:topLinePunct w:val="0"/>
              <w:autoSpaceDE w:val="0"/>
              <w:autoSpaceDN w:val="0"/>
              <w:bidi w:val="0"/>
              <w:adjustRightInd w:val="0"/>
              <w:snapToGrid/>
              <w:spacing w:before="2" w:line="360" w:lineRule="auto"/>
              <w:ind w:left="590"/>
              <w:textAlignment w:val="auto"/>
              <w:rPr>
                <w:rFonts w:eastAsia="宋体"/>
                <w:color w:val="auto"/>
              </w:rPr>
            </w:pPr>
            <w:r>
              <w:rPr>
                <w:rFonts w:eastAsia="宋体"/>
                <w:color w:val="auto"/>
              </w:rPr>
              <w:t>(3</w:t>
            </w:r>
            <w:r>
              <w:rPr>
                <w:rFonts w:hint="eastAsia" w:eastAsia="宋体"/>
                <w:color w:val="auto"/>
                <w:lang w:eastAsia="zh-CN"/>
              </w:rPr>
              <w:t>）</w:t>
            </w:r>
            <w:r>
              <w:rPr>
                <w:rFonts w:eastAsia="宋体"/>
                <w:color w:val="auto"/>
              </w:rPr>
              <w:t>分区防治措施</w:t>
            </w:r>
          </w:p>
          <w:p>
            <w:pPr>
              <w:pStyle w:val="41"/>
              <w:spacing w:before="1" w:line="362" w:lineRule="auto"/>
              <w:ind w:left="108" w:right="94" w:firstLine="480" w:firstLineChars="200"/>
              <w:rPr>
                <w:rFonts w:eastAsia="宋体"/>
                <w:color w:val="auto"/>
              </w:rPr>
            </w:pPr>
            <w:r>
              <w:rPr>
                <w:rFonts w:eastAsia="宋体"/>
                <w:color w:val="auto"/>
              </w:rPr>
              <w:t>根据防渗相关标准和规范，结合目前施工过程中的可操作性和技术水平，针对不同的防渗区域采用典型的防渗措施，在具体设计中应根据实际情况在满足防渗标准的前提下</w:t>
            </w:r>
            <w:r>
              <w:rPr>
                <w:rFonts w:hint="eastAsia" w:eastAsia="宋体"/>
                <w:color w:val="auto"/>
                <w:lang w:eastAsia="zh-CN"/>
              </w:rPr>
              <w:t>做必要的</w:t>
            </w:r>
            <w:r>
              <w:rPr>
                <w:rFonts w:eastAsia="宋体"/>
                <w:color w:val="auto"/>
              </w:rPr>
              <w:t>调整。</w:t>
            </w:r>
          </w:p>
          <w:p>
            <w:pPr>
              <w:pStyle w:val="41"/>
              <w:spacing w:before="5"/>
              <w:ind w:left="588"/>
              <w:rPr>
                <w:rFonts w:eastAsia="宋体"/>
                <w:color w:val="auto"/>
              </w:rPr>
            </w:pPr>
            <w:r>
              <w:rPr>
                <w:rFonts w:hint="eastAsia" w:ascii="宋体" w:hAnsi="宋体" w:eastAsia="宋体" w:cs="宋体"/>
                <w:color w:val="auto"/>
              </w:rPr>
              <w:t>①</w:t>
            </w:r>
            <w:r>
              <w:rPr>
                <w:rFonts w:eastAsia="宋体"/>
                <w:color w:val="auto"/>
              </w:rPr>
              <w:t>重点污染防治区</w:t>
            </w:r>
          </w:p>
          <w:p>
            <w:pPr>
              <w:pStyle w:val="41"/>
              <w:spacing w:before="161" w:line="364" w:lineRule="auto"/>
              <w:ind w:left="108" w:right="94" w:firstLine="480"/>
              <w:jc w:val="both"/>
              <w:rPr>
                <w:rFonts w:eastAsia="宋体"/>
                <w:color w:val="auto"/>
              </w:rPr>
            </w:pPr>
            <w:r>
              <w:rPr>
                <w:rFonts w:eastAsia="宋体"/>
                <w:color w:val="auto"/>
              </w:rPr>
              <w:t>池体采用防渗钢筋混凝土，池体内表面刷涂防渗涂料。混凝土中掺入微膨胀剂，掺入量以试配结果为准；混凝土需有良好的级配，严格控制沙石的含泥量， 并振捣密实，混凝土浇筑完后应加强养护。</w:t>
            </w:r>
          </w:p>
          <w:p>
            <w:pPr>
              <w:pStyle w:val="41"/>
              <w:spacing w:line="305" w:lineRule="exact"/>
              <w:ind w:left="588"/>
              <w:rPr>
                <w:rFonts w:eastAsia="宋体"/>
                <w:color w:val="auto"/>
              </w:rPr>
            </w:pPr>
            <w:r>
              <w:rPr>
                <w:rFonts w:eastAsia="宋体"/>
                <w:color w:val="auto"/>
              </w:rPr>
              <w:t>钢筋混凝土水池修建应注意以下事项：</w:t>
            </w:r>
          </w:p>
          <w:p>
            <w:pPr>
              <w:pStyle w:val="41"/>
              <w:spacing w:before="160"/>
              <w:ind w:left="588"/>
              <w:rPr>
                <w:rFonts w:eastAsia="宋体"/>
                <w:color w:val="auto"/>
              </w:rPr>
            </w:pPr>
            <w:r>
              <w:rPr>
                <w:rFonts w:eastAsia="宋体"/>
                <w:color w:val="auto"/>
              </w:rPr>
              <w:t>a.水池内外壁、水池地板表面要平整无裂缝，涂抹防渗涂料。</w:t>
            </w:r>
          </w:p>
          <w:p>
            <w:pPr>
              <w:pStyle w:val="41"/>
              <w:spacing w:before="161"/>
              <w:ind w:left="588"/>
              <w:rPr>
                <w:rFonts w:eastAsia="宋体"/>
                <w:color w:val="auto"/>
              </w:rPr>
            </w:pPr>
            <w:r>
              <w:rPr>
                <w:rFonts w:eastAsia="宋体"/>
                <w:color w:val="auto"/>
              </w:rPr>
              <w:t>b.管道与池体接口处设置止水环。</w:t>
            </w:r>
          </w:p>
          <w:p>
            <w:pPr>
              <w:pStyle w:val="41"/>
              <w:spacing w:before="158"/>
              <w:ind w:left="588"/>
              <w:rPr>
                <w:rFonts w:eastAsia="宋体"/>
                <w:color w:val="auto"/>
              </w:rPr>
            </w:pPr>
            <w:r>
              <w:rPr>
                <w:rFonts w:eastAsia="宋体"/>
                <w:color w:val="auto"/>
              </w:rPr>
              <w:t>c.池体回填土应分层夯实。</w:t>
            </w:r>
          </w:p>
          <w:p>
            <w:pPr>
              <w:pStyle w:val="41"/>
              <w:spacing w:before="158"/>
              <w:ind w:left="588"/>
              <w:rPr>
                <w:rFonts w:eastAsia="宋体"/>
                <w:color w:val="auto"/>
              </w:rPr>
            </w:pPr>
            <w:r>
              <w:rPr>
                <w:rFonts w:eastAsia="宋体"/>
                <w:color w:val="auto"/>
              </w:rPr>
              <w:t>d.在施工、试水期间以及使用期间应做好沉降记录。</w:t>
            </w:r>
          </w:p>
          <w:p>
            <w:pPr>
              <w:pStyle w:val="41"/>
              <w:spacing w:before="160" w:line="362" w:lineRule="auto"/>
              <w:ind w:left="108" w:right="97" w:firstLine="480"/>
              <w:rPr>
                <w:rFonts w:eastAsia="宋体"/>
                <w:color w:val="auto"/>
              </w:rPr>
            </w:pPr>
            <w:r>
              <w:rPr>
                <w:rFonts w:eastAsia="宋体"/>
                <w:color w:val="auto"/>
              </w:rPr>
              <w:t>e.配套设施区应做地面防渗、防腐，并设置溢流堰、导流渠及应急池，设置紧急关闭阀门，并配备堵漏吸附物资，应急救援服等物资。</w:t>
            </w:r>
          </w:p>
          <w:p>
            <w:pPr>
              <w:pStyle w:val="41"/>
              <w:spacing w:before="5"/>
              <w:ind w:left="588"/>
              <w:rPr>
                <w:rFonts w:eastAsia="宋体"/>
                <w:color w:val="auto"/>
              </w:rPr>
            </w:pPr>
            <w:r>
              <w:rPr>
                <w:rFonts w:hint="eastAsia" w:ascii="宋体" w:hAnsi="宋体" w:eastAsia="宋体" w:cs="宋体"/>
                <w:color w:val="auto"/>
              </w:rPr>
              <w:t>②</w:t>
            </w:r>
            <w:r>
              <w:rPr>
                <w:rFonts w:eastAsia="宋体"/>
                <w:color w:val="auto"/>
              </w:rPr>
              <w:t>一般污染防治区</w:t>
            </w:r>
          </w:p>
          <w:p>
            <w:pPr>
              <w:pStyle w:val="41"/>
              <w:spacing w:before="161" w:line="364" w:lineRule="auto"/>
              <w:ind w:left="108" w:right="94" w:firstLine="480"/>
              <w:jc w:val="both"/>
              <w:rPr>
                <w:rFonts w:eastAsia="宋体"/>
                <w:color w:val="auto"/>
              </w:rPr>
            </w:pPr>
            <w:r>
              <w:rPr>
                <w:rFonts w:eastAsia="宋体"/>
                <w:color w:val="auto"/>
              </w:rPr>
              <w:t>拟建厂区一般污染防治区主要为</w:t>
            </w:r>
            <w:r>
              <w:rPr>
                <w:rFonts w:hint="eastAsia" w:eastAsia="宋体"/>
                <w:color w:val="auto"/>
                <w:lang w:val="en-US" w:eastAsia="zh-CN"/>
              </w:rPr>
              <w:t>消毒池</w:t>
            </w:r>
            <w:r>
              <w:rPr>
                <w:rFonts w:eastAsia="宋体"/>
                <w:color w:val="auto"/>
              </w:rPr>
              <w:t>和出水计量槽等，污水水质简单，污染物浓度较低，故在建设过程中通过在抗渗混凝土面层掺防水剂，以达到防渗的目的。对于混凝土中间的伸缩缝和实体基础的缝隙，通过填充柔性材料达到防渗目的。</w:t>
            </w:r>
          </w:p>
          <w:p>
            <w:pPr>
              <w:pStyle w:val="41"/>
              <w:spacing w:line="305" w:lineRule="exact"/>
              <w:ind w:left="588"/>
              <w:rPr>
                <w:rFonts w:eastAsia="宋体"/>
                <w:color w:val="auto"/>
              </w:rPr>
            </w:pPr>
            <w:r>
              <w:rPr>
                <w:rFonts w:eastAsia="宋体"/>
                <w:color w:val="auto"/>
              </w:rPr>
              <w:t>厂区运输道路、</w:t>
            </w:r>
            <w:r>
              <w:rPr>
                <w:rFonts w:hint="eastAsia" w:eastAsia="宋体"/>
                <w:color w:val="auto"/>
                <w:lang w:val="en-US" w:eastAsia="zh-CN"/>
              </w:rPr>
              <w:t>辅助办公区</w:t>
            </w:r>
            <w:r>
              <w:rPr>
                <w:rFonts w:eastAsia="宋体"/>
                <w:color w:val="auto"/>
              </w:rPr>
              <w:t>等均做地面硬化等措施。</w:t>
            </w:r>
          </w:p>
          <w:p>
            <w:pPr>
              <w:pStyle w:val="41"/>
              <w:spacing w:before="158"/>
              <w:ind w:left="588"/>
              <w:rPr>
                <w:rFonts w:eastAsia="宋体"/>
                <w:color w:val="auto"/>
              </w:rPr>
            </w:pPr>
            <w:r>
              <w:rPr>
                <w:rFonts w:eastAsia="宋体"/>
                <w:color w:val="auto"/>
              </w:rPr>
              <w:t>(4</w:t>
            </w:r>
            <w:r>
              <w:rPr>
                <w:rFonts w:hint="eastAsia" w:eastAsia="宋体"/>
                <w:color w:val="auto"/>
                <w:lang w:eastAsia="zh-CN"/>
              </w:rPr>
              <w:t>）</w:t>
            </w:r>
            <w:r>
              <w:rPr>
                <w:rFonts w:eastAsia="宋体"/>
                <w:color w:val="auto"/>
              </w:rPr>
              <w:t>应急响应</w:t>
            </w:r>
          </w:p>
          <w:p>
            <w:pPr>
              <w:pStyle w:val="41"/>
              <w:spacing w:before="158" w:line="364" w:lineRule="auto"/>
              <w:ind w:left="108" w:right="94" w:firstLine="480"/>
              <w:rPr>
                <w:rFonts w:eastAsia="宋体"/>
                <w:color w:val="auto"/>
              </w:rPr>
            </w:pPr>
            <w:r>
              <w:rPr>
                <w:rFonts w:eastAsia="宋体"/>
                <w:color w:val="auto"/>
              </w:rPr>
              <w:t>制定地下水污染应急响应预案，方案包括计划书、设备器材，每项工作均落实到责任人，明确污染状况下应采取的控制污染措施。</w:t>
            </w:r>
          </w:p>
          <w:p>
            <w:pPr>
              <w:pStyle w:val="41"/>
              <w:keepNext w:val="0"/>
              <w:keepLines w:val="0"/>
              <w:pageBreakBefore w:val="0"/>
              <w:widowControl w:val="0"/>
              <w:kinsoku/>
              <w:wordWrap/>
              <w:overflowPunct/>
              <w:topLinePunct w:val="0"/>
              <w:autoSpaceDE w:val="0"/>
              <w:autoSpaceDN w:val="0"/>
              <w:bidi w:val="0"/>
              <w:adjustRightInd w:val="0"/>
              <w:snapToGrid/>
              <w:spacing w:line="360" w:lineRule="auto"/>
              <w:ind w:left="0" w:right="0" w:firstLine="480" w:firstLineChars="200"/>
              <w:textAlignment w:val="auto"/>
              <w:rPr>
                <w:rFonts w:eastAsia="宋体"/>
                <w:color w:val="auto"/>
              </w:rPr>
            </w:pPr>
            <w:r>
              <w:rPr>
                <w:rFonts w:eastAsia="宋体"/>
                <w:color w:val="auto"/>
              </w:rPr>
              <w:t>总之，企业要加强污染物源头控制措施，切实做好建设项目的事故风险防范</w:t>
            </w:r>
            <w:r>
              <w:rPr>
                <w:rFonts w:eastAsia="宋体"/>
                <w:color w:val="auto"/>
                <w:spacing w:val="-9"/>
              </w:rPr>
              <w:t>措施，做好厂内的地面硬化、防渗设施建设并加强维护，特别是对污水处理设施、固废堆场的地面防渗工作，确保在正常工况下对地下水无污染途径。</w:t>
            </w:r>
          </w:p>
          <w:p>
            <w:pPr>
              <w:adjustRightInd w:val="0"/>
              <w:snapToGrid w:val="0"/>
              <w:spacing w:line="360" w:lineRule="auto"/>
              <w:jc w:val="left"/>
              <w:rPr>
                <w:rFonts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b/>
                <w:bCs/>
                <w:color w:val="auto"/>
                <w:kern w:val="0"/>
                <w:sz w:val="24"/>
                <w:szCs w:val="24"/>
              </w:rPr>
              <w:t>4</w:t>
            </w:r>
            <w:r>
              <w:rPr>
                <w:rFonts w:ascii="Times New Roman" w:hAnsi="Times New Roman" w:eastAsia="宋体" w:cs="Times New Roman"/>
                <w:b/>
                <w:bCs/>
                <w:color w:val="auto"/>
                <w:kern w:val="0"/>
                <w:sz w:val="24"/>
                <w:szCs w:val="24"/>
                <w:lang w:val="en-US" w:eastAsia="zh-CN" w:bidi="ar-SA"/>
              </w:rPr>
              <w:t>.9.</w:t>
            </w:r>
            <w:r>
              <w:rPr>
                <w:rFonts w:hint="eastAsia" w:ascii="Times New Roman" w:hAnsi="Times New Roman" w:eastAsia="宋体" w:cs="Times New Roman"/>
                <w:b/>
                <w:bCs/>
                <w:color w:val="auto"/>
                <w:kern w:val="0"/>
                <w:sz w:val="24"/>
                <w:szCs w:val="24"/>
                <w:lang w:val="en-US" w:eastAsia="zh-CN" w:bidi="ar-SA"/>
              </w:rPr>
              <w:t>6</w:t>
            </w:r>
            <w:r>
              <w:rPr>
                <w:rFonts w:ascii="Times New Roman" w:hAnsi="Times New Roman" w:eastAsia="宋体" w:cs="Times New Roman"/>
                <w:b/>
                <w:bCs/>
                <w:color w:val="auto"/>
                <w:kern w:val="0"/>
                <w:sz w:val="24"/>
                <w:szCs w:val="24"/>
                <w:lang w:val="en-US" w:eastAsia="zh-CN" w:bidi="ar-SA"/>
              </w:rPr>
              <w:t>土壤污染防治措施</w:t>
            </w:r>
          </w:p>
          <w:p>
            <w:pPr>
              <w:pStyle w:val="41"/>
              <w:keepNext w:val="0"/>
              <w:keepLines w:val="0"/>
              <w:pageBreakBefore w:val="0"/>
              <w:widowControl w:val="0"/>
              <w:kinsoku/>
              <w:wordWrap/>
              <w:overflowPunct/>
              <w:topLinePunct w:val="0"/>
              <w:autoSpaceDE w:val="0"/>
              <w:autoSpaceDN w:val="0"/>
              <w:bidi w:val="0"/>
              <w:adjustRightInd w:val="0"/>
              <w:snapToGrid/>
              <w:spacing w:line="360" w:lineRule="auto"/>
              <w:ind w:left="0" w:firstLine="480" w:firstLineChars="200"/>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1、源头控制措施</w:t>
            </w:r>
          </w:p>
          <w:p>
            <w:pPr>
              <w:pStyle w:val="41"/>
              <w:keepNext w:val="0"/>
              <w:keepLines w:val="0"/>
              <w:pageBreakBefore w:val="0"/>
              <w:widowControl w:val="0"/>
              <w:kinsoku/>
              <w:wordWrap/>
              <w:overflowPunct/>
              <w:topLinePunct w:val="0"/>
              <w:autoSpaceDE w:val="0"/>
              <w:autoSpaceDN w:val="0"/>
              <w:bidi w:val="0"/>
              <w:adjustRightInd w:val="0"/>
              <w:snapToGrid/>
              <w:spacing w:line="360" w:lineRule="auto"/>
              <w:ind w:left="0" w:right="0" w:firstLine="480" w:firstLineChars="200"/>
              <w:jc w:val="both"/>
              <w:textAlignment w:val="auto"/>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从原料和产品储存、装卸、运输、生产过程、污染处理装置等全过程控制各种有毒有害原辅材料、中间材料、产品泄漏</w:t>
            </w:r>
            <w:r>
              <w:rPr>
                <w:rFonts w:hint="eastAsia"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含跑、冒、滴、漏</w:t>
            </w:r>
            <w:r>
              <w:rPr>
                <w:rFonts w:hint="eastAsia"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，同时对有害物质可能泄漏到地面的区域采取防渗措施，阻止其进入土壤中，即从源头到末端全方位采取控制措施，防止项目的建设对土壤造成污染。</w:t>
            </w:r>
          </w:p>
          <w:p>
            <w:pPr>
              <w:pStyle w:val="41"/>
              <w:spacing w:line="364" w:lineRule="auto"/>
              <w:ind w:left="108" w:right="-29" w:firstLine="48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pPr>
              <w:pStyle w:val="41"/>
              <w:spacing w:line="303" w:lineRule="exact"/>
              <w:ind w:left="588"/>
              <w:rPr>
                <w:rFonts w:eastAsia="宋体"/>
                <w:color w:val="auto"/>
              </w:rPr>
            </w:pPr>
            <w:r>
              <w:rPr>
                <w:rFonts w:eastAsia="宋体"/>
                <w:color w:val="auto"/>
              </w:rPr>
              <w:t>2、过程控制措施</w:t>
            </w:r>
          </w:p>
          <w:p>
            <w:pPr>
              <w:pStyle w:val="41"/>
              <w:spacing w:before="160" w:line="364" w:lineRule="auto"/>
              <w:ind w:left="108" w:right="-29" w:firstLine="480"/>
              <w:rPr>
                <w:rFonts w:eastAsia="宋体"/>
                <w:color w:val="auto"/>
              </w:rPr>
            </w:pPr>
            <w:r>
              <w:rPr>
                <w:rFonts w:eastAsia="宋体"/>
                <w:color w:val="auto"/>
              </w:rPr>
              <w:t>项目采取不同等级的防渗措施，其中重点防渗区域，基础底部夯实，上面铺</w:t>
            </w:r>
            <w:r>
              <w:rPr>
                <w:rFonts w:eastAsia="宋体"/>
                <w:color w:val="auto"/>
                <w:spacing w:val="-2"/>
              </w:rPr>
              <w:t>装防渗层，等效黏土厚度≥</w:t>
            </w:r>
            <w:r>
              <w:rPr>
                <w:rFonts w:eastAsia="宋体"/>
                <w:color w:val="auto"/>
              </w:rPr>
              <w:t>6m，渗透系数≤10</w:t>
            </w:r>
            <w:r>
              <w:rPr>
                <w:rFonts w:eastAsia="宋体"/>
                <w:color w:val="auto"/>
                <w:vertAlign w:val="superscript"/>
              </w:rPr>
              <w:t>-7</w:t>
            </w:r>
            <w:r>
              <w:rPr>
                <w:rFonts w:eastAsia="宋体"/>
                <w:color w:val="auto"/>
              </w:rPr>
              <w:t>cm/s</w:t>
            </w:r>
            <w:r>
              <w:rPr>
                <w:rFonts w:eastAsia="宋体"/>
                <w:color w:val="auto"/>
                <w:spacing w:val="-2"/>
              </w:rPr>
              <w:t>。对池体采取防腐防渗处理。</w:t>
            </w:r>
            <w:r>
              <w:rPr>
                <w:rFonts w:eastAsia="宋体"/>
                <w:color w:val="auto"/>
                <w:spacing w:val="-6"/>
              </w:rPr>
              <w:t>对除臭设施和出水计量槽等一般防渗区采取基底夯实、基础防渗及表层硬化措施。简单防渗区进行了地面硬化处理。企业在管理方面严加管理，并采取相应的防渗措施可有效</w:t>
            </w:r>
            <w:r>
              <w:rPr>
                <w:rFonts w:hint="eastAsia" w:eastAsia="宋体"/>
                <w:color w:val="auto"/>
                <w:spacing w:val="-6"/>
                <w:lang w:eastAsia="zh-CN"/>
              </w:rPr>
              <w:t>防止</w:t>
            </w:r>
            <w:r>
              <w:rPr>
                <w:rFonts w:eastAsia="宋体"/>
                <w:color w:val="auto"/>
                <w:spacing w:val="-6"/>
              </w:rPr>
              <w:t>危废仓库和处置过程中因物料泄漏造成对区域土壤环境的污染。</w:t>
            </w:r>
          </w:p>
          <w:p>
            <w:pPr>
              <w:pStyle w:val="41"/>
              <w:spacing w:line="362" w:lineRule="auto"/>
              <w:ind w:left="108" w:right="94" w:firstLine="480"/>
              <w:rPr>
                <w:rFonts w:eastAsia="宋体"/>
                <w:color w:val="auto"/>
              </w:rPr>
            </w:pPr>
            <w:r>
              <w:rPr>
                <w:rFonts w:eastAsia="宋体"/>
                <w:color w:val="auto"/>
              </w:rPr>
              <w:t>此外，一旦发生土壤污染事故，立即启动企业环境风险应急预案，采取应急措施控制土壤污染，并使污染得到治理。</w:t>
            </w:r>
          </w:p>
          <w:p>
            <w:pPr>
              <w:pStyle w:val="41"/>
              <w:spacing w:before="3" w:line="364" w:lineRule="auto"/>
              <w:ind w:left="108" w:right="-29" w:firstLine="480"/>
              <w:rPr>
                <w:rFonts w:eastAsia="宋体"/>
                <w:color w:val="auto"/>
              </w:rPr>
            </w:pPr>
            <w:r>
              <w:rPr>
                <w:rFonts w:eastAsia="宋体"/>
                <w:color w:val="auto"/>
              </w:rPr>
              <w:t>总之，企业要加强污染物源头控制措施，切实做好建设项目的事故风险防范</w:t>
            </w:r>
            <w:r>
              <w:rPr>
                <w:rFonts w:eastAsia="宋体"/>
                <w:color w:val="auto"/>
                <w:spacing w:val="-9"/>
              </w:rPr>
              <w:t>措施，做好厂内的地面硬化、防渗设施建设并加强维护，特别是对污水处理设施、固废堆场的地面防渗工作，确保在正常工况下对土壤无污染途径。</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4.10生态</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本项目所在地周边无珍稀动植物物种和自然保护区等环境敏感区，在各项环保设施正常运行状态下，各种污染物能够做到达标排放，对周围生态环境影响较小。</w:t>
            </w:r>
          </w:p>
          <w:p>
            <w:pPr>
              <w:adjustRightInd w:val="0"/>
              <w:snapToGrid w:val="0"/>
              <w:spacing w:line="360" w:lineRule="auto"/>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4.11环境风险</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1、危险物质及风险源分布情况</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本项目危险物质主要为</w:t>
            </w:r>
            <w:r>
              <w:rPr>
                <w:rFonts w:hint="eastAsia" w:ascii="Times New Roman" w:hAnsi="Times New Roman" w:eastAsia="宋体" w:cs="Times New Roman"/>
                <w:color w:val="auto"/>
                <w:kern w:val="0"/>
                <w:sz w:val="24"/>
                <w:szCs w:val="24"/>
                <w:lang w:val="en-US" w:eastAsia="zh-CN"/>
              </w:rPr>
              <w:t>二氧化氯</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在使用时通过二氧化氯发生器现场制作</w:t>
            </w:r>
            <w:r>
              <w:rPr>
                <w:rFonts w:ascii="Times New Roman" w:hAnsi="Times New Roman" w:eastAsia="宋体" w:cs="Times New Roman"/>
                <w:color w:val="auto"/>
                <w:kern w:val="0"/>
                <w:sz w:val="24"/>
                <w:szCs w:val="24"/>
              </w:rPr>
              <w:t>。</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2、环境风险潜势和评价等级</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风险潜势初判见下表。</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 4-1</w:t>
            </w:r>
            <w:r>
              <w:rPr>
                <w:rFonts w:hint="eastAsia" w:ascii="Times New Roman" w:hAnsi="Times New Roman" w:eastAsia="宋体"/>
                <w:color w:val="auto"/>
                <w:sz w:val="24"/>
                <w:szCs w:val="24"/>
                <w:lang w:val="en-US" w:eastAsia="zh-CN"/>
              </w:rPr>
              <w:t>8</w:t>
            </w:r>
            <w:r>
              <w:rPr>
                <w:rFonts w:ascii="Times New Roman" w:hAnsi="Times New Roman" w:eastAsia="宋体"/>
                <w:color w:val="auto"/>
                <w:sz w:val="24"/>
                <w:szCs w:val="24"/>
              </w:rPr>
              <w:t xml:space="preserve">   本项目危险物质数量与临界量比值 Q 的计算</w:t>
            </w:r>
          </w:p>
          <w:tbl>
            <w:tblPr>
              <w:tblStyle w:val="45"/>
              <w:tblW w:w="8593"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4"/>
              <w:gridCol w:w="2413"/>
              <w:gridCol w:w="1299"/>
              <w:gridCol w:w="1440"/>
              <w:gridCol w:w="1602"/>
              <w:gridCol w:w="10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5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lang w:eastAsia="zh-CN"/>
                    </w:rPr>
                  </w:pPr>
                  <w:r>
                    <w:rPr>
                      <w:rFonts w:eastAsia="宋体"/>
                      <w:b/>
                      <w:bCs/>
                      <w:color w:val="auto"/>
                      <w:sz w:val="21"/>
                      <w:lang w:eastAsia="zh-CN"/>
                    </w:rPr>
                    <w:t>序号</w:t>
                  </w:r>
                </w:p>
              </w:tc>
              <w:tc>
                <w:tcPr>
                  <w:tcW w:w="24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lang w:eastAsia="zh-CN"/>
                    </w:rPr>
                  </w:pPr>
                  <w:r>
                    <w:rPr>
                      <w:rFonts w:eastAsia="宋体"/>
                      <w:b/>
                      <w:bCs/>
                      <w:color w:val="auto"/>
                      <w:sz w:val="21"/>
                      <w:lang w:eastAsia="zh-CN"/>
                    </w:rPr>
                    <w:t>危险物质名称</w:t>
                  </w:r>
                </w:p>
              </w:tc>
              <w:tc>
                <w:tcPr>
                  <w:tcW w:w="129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lang w:eastAsia="zh-CN"/>
                    </w:rPr>
                  </w:pPr>
                  <w:r>
                    <w:rPr>
                      <w:rFonts w:eastAsia="宋体"/>
                      <w:b/>
                      <w:bCs/>
                      <w:color w:val="auto"/>
                      <w:sz w:val="21"/>
                      <w:lang w:eastAsia="zh-CN"/>
                    </w:rPr>
                    <w:t>CAS 号</w:t>
                  </w:r>
                </w:p>
              </w:tc>
              <w:tc>
                <w:tcPr>
                  <w:tcW w:w="1440"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lang w:eastAsia="zh-CN"/>
                    </w:rPr>
                  </w:pPr>
                  <w:r>
                    <w:rPr>
                      <w:rFonts w:eastAsia="宋体"/>
                      <w:b/>
                      <w:bCs/>
                      <w:color w:val="auto"/>
                      <w:sz w:val="21"/>
                      <w:lang w:eastAsia="zh-CN"/>
                    </w:rPr>
                    <w:t>临界量</w:t>
                  </w:r>
                  <w:r>
                    <w:rPr>
                      <w:rFonts w:hint="eastAsia" w:eastAsia="宋体"/>
                      <w:b/>
                      <w:bCs/>
                      <w:color w:val="auto"/>
                      <w:sz w:val="21"/>
                      <w:lang w:eastAsia="zh-CN"/>
                    </w:rPr>
                    <w:t>（</w:t>
                  </w:r>
                  <w:r>
                    <w:rPr>
                      <w:rFonts w:eastAsia="宋体"/>
                      <w:b/>
                      <w:bCs/>
                      <w:color w:val="auto"/>
                      <w:sz w:val="21"/>
                      <w:lang w:eastAsia="zh-CN"/>
                    </w:rPr>
                    <w:t>t)</w:t>
                  </w:r>
                </w:p>
              </w:tc>
              <w:tc>
                <w:tcPr>
                  <w:tcW w:w="160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lang w:eastAsia="zh-CN"/>
                    </w:rPr>
                  </w:pPr>
                  <w:r>
                    <w:rPr>
                      <w:rFonts w:eastAsia="宋体"/>
                      <w:b/>
                      <w:bCs/>
                      <w:color w:val="auto"/>
                      <w:sz w:val="21"/>
                      <w:lang w:eastAsia="zh-CN"/>
                    </w:rPr>
                    <w:t>实际储存量</w:t>
                  </w:r>
                  <w:r>
                    <w:rPr>
                      <w:rFonts w:hint="eastAsia" w:eastAsia="宋体"/>
                      <w:b/>
                      <w:bCs/>
                      <w:color w:val="auto"/>
                      <w:sz w:val="21"/>
                      <w:lang w:eastAsia="zh-CN"/>
                    </w:rPr>
                    <w:t>（</w:t>
                  </w:r>
                  <w:r>
                    <w:rPr>
                      <w:rFonts w:eastAsia="宋体"/>
                      <w:b/>
                      <w:bCs/>
                      <w:color w:val="auto"/>
                      <w:sz w:val="21"/>
                      <w:lang w:eastAsia="zh-CN"/>
                    </w:rPr>
                    <w:t>t)</w:t>
                  </w:r>
                </w:p>
              </w:tc>
              <w:tc>
                <w:tcPr>
                  <w:tcW w:w="108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b/>
                      <w:bCs/>
                      <w:color w:val="auto"/>
                      <w:sz w:val="21"/>
                      <w:lang w:eastAsia="zh-CN"/>
                    </w:rPr>
                  </w:pPr>
                  <w:r>
                    <w:rPr>
                      <w:rFonts w:eastAsia="宋体"/>
                      <w:b/>
                      <w:bCs/>
                      <w:color w:val="auto"/>
                      <w:sz w:val="21"/>
                      <w:lang w:eastAsia="zh-CN"/>
                    </w:rPr>
                    <w:t>q/Q</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5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lang w:eastAsia="zh-CN"/>
                    </w:rPr>
                  </w:pPr>
                  <w:r>
                    <w:rPr>
                      <w:rFonts w:eastAsia="宋体"/>
                      <w:color w:val="auto"/>
                      <w:w w:val="99"/>
                      <w:sz w:val="21"/>
                      <w:lang w:eastAsia="zh-CN"/>
                    </w:rPr>
                    <w:t>1</w:t>
                  </w:r>
                </w:p>
              </w:tc>
              <w:tc>
                <w:tcPr>
                  <w:tcW w:w="2413"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lang w:eastAsia="zh-CN"/>
                    </w:rPr>
                  </w:pPr>
                  <w:r>
                    <w:rPr>
                      <w:rFonts w:hint="eastAsia" w:eastAsia="宋体"/>
                      <w:color w:val="auto"/>
                      <w:sz w:val="21"/>
                      <w:lang w:val="en-US" w:eastAsia="zh-CN"/>
                    </w:rPr>
                    <w:t>二氧化氯</w:t>
                  </w:r>
                </w:p>
              </w:tc>
              <w:tc>
                <w:tcPr>
                  <w:tcW w:w="1299"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lang w:eastAsia="zh-CN"/>
                    </w:rPr>
                  </w:pPr>
                  <w:r>
                    <w:rPr>
                      <w:rFonts w:hint="eastAsia" w:eastAsia="宋体"/>
                      <w:color w:val="auto"/>
                      <w:sz w:val="21"/>
                      <w:lang w:val="en-US" w:eastAsia="zh-CN"/>
                    </w:rPr>
                    <w:t>10049</w:t>
                  </w:r>
                  <w:r>
                    <w:rPr>
                      <w:rFonts w:eastAsia="宋体"/>
                      <w:color w:val="auto"/>
                      <w:sz w:val="21"/>
                      <w:lang w:eastAsia="zh-CN"/>
                    </w:rPr>
                    <w:t>-</w:t>
                  </w:r>
                  <w:r>
                    <w:rPr>
                      <w:rFonts w:hint="eastAsia" w:eastAsia="宋体"/>
                      <w:color w:val="auto"/>
                      <w:sz w:val="21"/>
                      <w:lang w:val="en-US" w:eastAsia="zh-CN"/>
                    </w:rPr>
                    <w:t>04</w:t>
                  </w:r>
                  <w:r>
                    <w:rPr>
                      <w:rFonts w:eastAsia="宋体"/>
                      <w:color w:val="auto"/>
                      <w:sz w:val="21"/>
                      <w:lang w:eastAsia="zh-CN"/>
                    </w:rPr>
                    <w:t>-</w:t>
                  </w:r>
                  <w:r>
                    <w:rPr>
                      <w:rFonts w:hint="eastAsia" w:eastAsia="宋体"/>
                      <w:color w:val="auto"/>
                      <w:sz w:val="21"/>
                      <w:lang w:val="en-US" w:eastAsia="zh-CN"/>
                    </w:rPr>
                    <w:t>4</w:t>
                  </w:r>
                </w:p>
              </w:tc>
              <w:tc>
                <w:tcPr>
                  <w:tcW w:w="1440"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lang w:eastAsia="zh-CN"/>
                    </w:rPr>
                  </w:pPr>
                  <w:r>
                    <w:rPr>
                      <w:rFonts w:hint="eastAsia" w:eastAsia="宋体"/>
                      <w:color w:val="auto"/>
                      <w:sz w:val="21"/>
                      <w:lang w:val="en-US" w:eastAsia="zh-CN"/>
                    </w:rPr>
                    <w:t>0.</w:t>
                  </w:r>
                  <w:r>
                    <w:rPr>
                      <w:rFonts w:eastAsia="宋体"/>
                      <w:color w:val="auto"/>
                      <w:sz w:val="21"/>
                      <w:lang w:eastAsia="zh-CN"/>
                    </w:rPr>
                    <w:t>5</w:t>
                  </w:r>
                </w:p>
              </w:tc>
              <w:tc>
                <w:tcPr>
                  <w:tcW w:w="1602"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hint="default" w:eastAsia="宋体"/>
                      <w:color w:val="auto"/>
                      <w:sz w:val="21"/>
                      <w:lang w:val="en-US" w:eastAsia="zh-CN"/>
                    </w:rPr>
                  </w:pPr>
                  <w:r>
                    <w:rPr>
                      <w:rFonts w:hint="eastAsia" w:eastAsia="宋体"/>
                      <w:color w:val="auto"/>
                      <w:sz w:val="21"/>
                      <w:lang w:val="en-US" w:eastAsia="zh-CN"/>
                    </w:rPr>
                    <w:t>0.2</w:t>
                  </w:r>
                </w:p>
              </w:tc>
              <w:tc>
                <w:tcPr>
                  <w:tcW w:w="108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lang w:eastAsia="zh-CN"/>
                    </w:rPr>
                  </w:pPr>
                  <w:r>
                    <w:rPr>
                      <w:rFonts w:eastAsia="宋体"/>
                      <w:color w:val="auto"/>
                      <w:sz w:val="21"/>
                      <w:lang w:eastAsia="zh-CN"/>
                    </w:rPr>
                    <w:t>0.</w:t>
                  </w:r>
                  <w:r>
                    <w:rPr>
                      <w:rFonts w:hint="eastAsia" w:eastAsia="宋体"/>
                      <w:color w:val="auto"/>
                      <w:sz w:val="21"/>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508" w:type="dxa"/>
                  <w:gridSpan w:val="5"/>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w w:val="99"/>
                      <w:sz w:val="21"/>
                      <w:lang w:eastAsia="zh-CN"/>
                    </w:rPr>
                  </w:pPr>
                  <w:r>
                    <w:rPr>
                      <w:rFonts w:eastAsia="宋体"/>
                      <w:color w:val="auto"/>
                      <w:sz w:val="21"/>
                      <w:lang w:eastAsia="zh-CN"/>
                    </w:rPr>
                    <w:t>合计</w:t>
                  </w:r>
                </w:p>
              </w:tc>
              <w:tc>
                <w:tcPr>
                  <w:tcW w:w="108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lang w:eastAsia="zh-CN"/>
                    </w:rPr>
                  </w:pPr>
                  <w:r>
                    <w:rPr>
                      <w:rFonts w:eastAsia="宋体"/>
                      <w:color w:val="auto"/>
                      <w:sz w:val="21"/>
                      <w:lang w:eastAsia="zh-CN"/>
                    </w:rPr>
                    <w:t>0.</w:t>
                  </w:r>
                  <w:r>
                    <w:rPr>
                      <w:rFonts w:hint="eastAsia" w:eastAsia="宋体"/>
                      <w:color w:val="auto"/>
                      <w:sz w:val="21"/>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508" w:type="dxa"/>
                  <w:gridSpan w:val="5"/>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w w:val="99"/>
                      <w:sz w:val="21"/>
                      <w:lang w:eastAsia="zh-CN"/>
                    </w:rPr>
                  </w:pPr>
                  <w:r>
                    <w:rPr>
                      <w:rFonts w:eastAsia="宋体"/>
                      <w:color w:val="auto"/>
                      <w:sz w:val="21"/>
                      <w:szCs w:val="21"/>
                      <w:lang w:eastAsia="zh-CN"/>
                    </w:rPr>
                    <w:t>Q值划分</w:t>
                  </w:r>
                </w:p>
              </w:tc>
              <w:tc>
                <w:tcPr>
                  <w:tcW w:w="1085"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right="0"/>
                    <w:jc w:val="center"/>
                    <w:textAlignment w:val="auto"/>
                    <w:rPr>
                      <w:rFonts w:eastAsia="宋体"/>
                      <w:color w:val="auto"/>
                      <w:sz w:val="21"/>
                      <w:lang w:eastAsia="zh-CN"/>
                    </w:rPr>
                  </w:pPr>
                  <w:r>
                    <w:rPr>
                      <w:rFonts w:eastAsia="宋体"/>
                      <w:color w:val="auto"/>
                      <w:sz w:val="21"/>
                      <w:lang w:eastAsia="zh-CN"/>
                    </w:rPr>
                    <w:t>Q&lt;1</w:t>
                  </w:r>
                </w:p>
              </w:tc>
            </w:tr>
          </w:tbl>
          <w:p>
            <w:pPr>
              <w:pStyle w:val="41"/>
              <w:spacing w:line="306" w:lineRule="exact"/>
              <w:ind w:left="588"/>
              <w:rPr>
                <w:color w:val="auto"/>
              </w:rPr>
            </w:pPr>
            <w:r>
              <w:rPr>
                <w:color w:val="auto"/>
              </w:rPr>
              <w:t xml:space="preserve">本项目环境风险评价等级判定见表 </w:t>
            </w:r>
            <w:r>
              <w:rPr>
                <w:rFonts w:eastAsia="Times New Roman"/>
                <w:color w:val="auto"/>
              </w:rPr>
              <w:t>4-1</w:t>
            </w:r>
            <w:r>
              <w:rPr>
                <w:rFonts w:hint="eastAsia" w:eastAsia="宋体"/>
                <w:color w:val="auto"/>
                <w:lang w:val="en-US" w:eastAsia="zh-CN"/>
              </w:rPr>
              <w:t>9</w:t>
            </w:r>
            <w:r>
              <w:rPr>
                <w:color w:val="auto"/>
              </w:rPr>
              <w:t>。</w:t>
            </w:r>
          </w:p>
          <w:p>
            <w:pPr>
              <w:pStyle w:val="35"/>
              <w:spacing w:line="240" w:lineRule="auto"/>
              <w:rPr>
                <w:rFonts w:ascii="Times New Roman" w:hAnsi="Times New Roman" w:eastAsia="宋体"/>
                <w:color w:val="auto"/>
                <w:sz w:val="24"/>
                <w:szCs w:val="24"/>
              </w:rPr>
            </w:pPr>
            <w:r>
              <w:rPr>
                <w:rFonts w:ascii="Times New Roman" w:hAnsi="Times New Roman" w:eastAsia="宋体"/>
                <w:color w:val="auto"/>
                <w:sz w:val="24"/>
                <w:szCs w:val="24"/>
              </w:rPr>
              <w:t>表</w:t>
            </w:r>
            <w:r>
              <w:rPr>
                <w:rFonts w:ascii="Times New Roman" w:hAnsi="Times New Roman" w:eastAsia="宋体"/>
                <w:color w:val="auto"/>
                <w:spacing w:val="-62"/>
                <w:sz w:val="24"/>
                <w:szCs w:val="24"/>
              </w:rPr>
              <w:t xml:space="preserve"> </w:t>
            </w:r>
            <w:r>
              <w:rPr>
                <w:rFonts w:ascii="Times New Roman" w:hAnsi="Times New Roman" w:eastAsia="宋体"/>
                <w:color w:val="auto"/>
                <w:sz w:val="24"/>
                <w:szCs w:val="24"/>
              </w:rPr>
              <w:t>4-1</w:t>
            </w:r>
            <w:r>
              <w:rPr>
                <w:rFonts w:hint="eastAsia" w:ascii="Times New Roman" w:hAnsi="Times New Roman" w:eastAsia="宋体"/>
                <w:color w:val="auto"/>
                <w:sz w:val="24"/>
                <w:szCs w:val="24"/>
                <w:lang w:val="en-US" w:eastAsia="zh-CN"/>
              </w:rPr>
              <w:t>9</w:t>
            </w:r>
            <w:r>
              <w:rPr>
                <w:rFonts w:ascii="Times New Roman" w:hAnsi="Times New Roman" w:eastAsia="宋体"/>
                <w:color w:val="auto"/>
                <w:sz w:val="24"/>
                <w:szCs w:val="24"/>
              </w:rPr>
              <w:tab/>
            </w:r>
            <w:r>
              <w:rPr>
                <w:rFonts w:ascii="Times New Roman" w:hAnsi="Times New Roman" w:eastAsia="宋体"/>
                <w:color w:val="auto"/>
                <w:sz w:val="24"/>
                <w:szCs w:val="24"/>
              </w:rPr>
              <w:t>本项目环境风险评价等级判定</w:t>
            </w:r>
          </w:p>
          <w:tbl>
            <w:tblPr>
              <w:tblStyle w:val="45"/>
              <w:tblW w:w="8593"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091"/>
              <w:gridCol w:w="1626"/>
              <w:gridCol w:w="1626"/>
              <w:gridCol w:w="1626"/>
              <w:gridCol w:w="162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9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eastAsia="宋体"/>
                      <w:b/>
                      <w:bCs/>
                      <w:color w:val="auto"/>
                      <w:sz w:val="21"/>
                      <w:lang w:eastAsia="zh-CN"/>
                    </w:rPr>
                  </w:pPr>
                  <w:r>
                    <w:rPr>
                      <w:rFonts w:eastAsia="宋体"/>
                      <w:b/>
                      <w:bCs/>
                      <w:color w:val="auto"/>
                      <w:sz w:val="21"/>
                      <w:lang w:eastAsia="zh-CN"/>
                    </w:rPr>
                    <w:t>环境风险潜势</w:t>
                  </w:r>
                </w:p>
              </w:tc>
              <w:tc>
                <w:tcPr>
                  <w:tcW w:w="1626"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eastAsia="宋体"/>
                      <w:b/>
                      <w:bCs/>
                      <w:color w:val="auto"/>
                      <w:sz w:val="21"/>
                      <w:lang w:eastAsia="zh-CN"/>
                    </w:rPr>
                  </w:pPr>
                  <w:r>
                    <w:rPr>
                      <w:rFonts w:eastAsia="宋体"/>
                      <w:b/>
                      <w:bCs/>
                      <w:color w:val="auto"/>
                      <w:sz w:val="21"/>
                      <w:lang w:eastAsia="zh-CN"/>
                    </w:rPr>
                    <w:t>Ⅳ、Ⅳ+</w:t>
                  </w:r>
                </w:p>
              </w:tc>
              <w:tc>
                <w:tcPr>
                  <w:tcW w:w="1626"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eastAsia="宋体"/>
                      <w:b/>
                      <w:bCs/>
                      <w:color w:val="auto"/>
                      <w:sz w:val="21"/>
                      <w:lang w:eastAsia="zh-CN"/>
                    </w:rPr>
                  </w:pPr>
                  <w:r>
                    <w:rPr>
                      <w:rFonts w:eastAsia="宋体"/>
                      <w:b/>
                      <w:bCs/>
                      <w:color w:val="auto"/>
                      <w:w w:val="99"/>
                      <w:sz w:val="21"/>
                      <w:lang w:eastAsia="zh-CN"/>
                    </w:rPr>
                    <w:t>Ⅲ</w:t>
                  </w:r>
                </w:p>
              </w:tc>
              <w:tc>
                <w:tcPr>
                  <w:tcW w:w="1626"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eastAsia="宋体"/>
                      <w:b/>
                      <w:bCs/>
                      <w:color w:val="auto"/>
                      <w:sz w:val="21"/>
                      <w:lang w:eastAsia="zh-CN"/>
                    </w:rPr>
                  </w:pPr>
                  <w:r>
                    <w:rPr>
                      <w:rFonts w:eastAsia="宋体"/>
                      <w:b/>
                      <w:bCs/>
                      <w:color w:val="auto"/>
                      <w:w w:val="99"/>
                      <w:sz w:val="21"/>
                      <w:lang w:eastAsia="zh-CN"/>
                    </w:rPr>
                    <w:t>Ⅱ</w:t>
                  </w:r>
                </w:p>
              </w:tc>
              <w:tc>
                <w:tcPr>
                  <w:tcW w:w="162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eastAsia="宋体"/>
                      <w:b/>
                      <w:bCs/>
                      <w:color w:val="auto"/>
                      <w:sz w:val="21"/>
                      <w:lang w:eastAsia="zh-CN"/>
                    </w:rPr>
                  </w:pPr>
                  <w:r>
                    <w:rPr>
                      <w:rFonts w:eastAsia="宋体"/>
                      <w:b/>
                      <w:bCs/>
                      <w:color w:val="auto"/>
                      <w:w w:val="99"/>
                      <w:sz w:val="21"/>
                      <w:lang w:eastAsia="zh-CN"/>
                    </w:rPr>
                    <w:t>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91"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eastAsia="宋体"/>
                      <w:color w:val="auto"/>
                      <w:sz w:val="21"/>
                      <w:lang w:eastAsia="zh-CN"/>
                    </w:rPr>
                  </w:pPr>
                  <w:r>
                    <w:rPr>
                      <w:rFonts w:eastAsia="宋体"/>
                      <w:color w:val="auto"/>
                      <w:sz w:val="21"/>
                      <w:lang w:eastAsia="zh-CN"/>
                    </w:rPr>
                    <w:t>评价工作等级</w:t>
                  </w:r>
                </w:p>
              </w:tc>
              <w:tc>
                <w:tcPr>
                  <w:tcW w:w="1626"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eastAsia="宋体"/>
                      <w:color w:val="auto"/>
                      <w:sz w:val="21"/>
                      <w:lang w:eastAsia="zh-CN"/>
                    </w:rPr>
                  </w:pPr>
                  <w:r>
                    <w:rPr>
                      <w:rFonts w:eastAsia="宋体"/>
                      <w:color w:val="auto"/>
                      <w:w w:val="99"/>
                      <w:sz w:val="21"/>
                      <w:lang w:eastAsia="zh-CN"/>
                    </w:rPr>
                    <w:t>一</w:t>
                  </w:r>
                </w:p>
              </w:tc>
              <w:tc>
                <w:tcPr>
                  <w:tcW w:w="1626"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eastAsia="宋体"/>
                      <w:color w:val="auto"/>
                      <w:sz w:val="21"/>
                      <w:lang w:eastAsia="zh-CN"/>
                    </w:rPr>
                  </w:pPr>
                  <w:r>
                    <w:rPr>
                      <w:rFonts w:eastAsia="宋体"/>
                      <w:color w:val="auto"/>
                      <w:w w:val="99"/>
                      <w:sz w:val="21"/>
                      <w:lang w:eastAsia="zh-CN"/>
                    </w:rPr>
                    <w:t>二</w:t>
                  </w:r>
                </w:p>
              </w:tc>
              <w:tc>
                <w:tcPr>
                  <w:tcW w:w="1626"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eastAsia="宋体"/>
                      <w:color w:val="auto"/>
                      <w:sz w:val="21"/>
                      <w:lang w:eastAsia="zh-CN"/>
                    </w:rPr>
                  </w:pPr>
                  <w:r>
                    <w:rPr>
                      <w:rFonts w:eastAsia="宋体"/>
                      <w:color w:val="auto"/>
                      <w:w w:val="99"/>
                      <w:sz w:val="21"/>
                      <w:lang w:eastAsia="zh-CN"/>
                    </w:rPr>
                    <w:t>三</w:t>
                  </w:r>
                </w:p>
              </w:tc>
              <w:tc>
                <w:tcPr>
                  <w:tcW w:w="1624" w:type="dxa"/>
                  <w:tcBorders>
                    <w:tl2br w:val="nil"/>
                    <w:tr2bl w:val="nil"/>
                  </w:tcBorders>
                  <w:vAlign w:val="center"/>
                </w:tcPr>
                <w:p>
                  <w:pPr>
                    <w:pStyle w:val="41"/>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eastAsia="宋体"/>
                      <w:b/>
                      <w:color w:val="auto"/>
                      <w:sz w:val="21"/>
                      <w:lang w:eastAsia="zh-CN"/>
                    </w:rPr>
                  </w:pPr>
                  <w:r>
                    <w:rPr>
                      <w:rFonts w:eastAsia="宋体"/>
                      <w:b/>
                      <w:color w:val="auto"/>
                      <w:sz w:val="21"/>
                      <w:lang w:eastAsia="zh-CN"/>
                    </w:rPr>
                    <w:t>简单分析</w:t>
                  </w:r>
                </w:p>
              </w:tc>
            </w:tr>
          </w:tbl>
          <w:p>
            <w:pPr>
              <w:pStyle w:val="41"/>
              <w:spacing w:line="360" w:lineRule="auto"/>
              <w:ind w:left="588"/>
              <w:rPr>
                <w:rFonts w:eastAsia="宋体"/>
                <w:color w:val="auto"/>
              </w:rPr>
            </w:pPr>
            <w:r>
              <w:rPr>
                <w:rFonts w:eastAsia="宋体"/>
                <w:color w:val="auto"/>
              </w:rPr>
              <w:t>综上所述，本项目风险评价等级为简单分析。</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3、环境风险防范措施及应急要求</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事故风险防范措施</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①</w:t>
            </w:r>
            <w:r>
              <w:rPr>
                <w:rFonts w:ascii="Times New Roman" w:hAnsi="Times New Roman" w:eastAsia="宋体" w:cs="Times New Roman"/>
                <w:color w:val="auto"/>
                <w:kern w:val="0"/>
                <w:sz w:val="24"/>
                <w:szCs w:val="24"/>
              </w:rPr>
              <w:t>增强风险意识，加强安全管理。如加强对操作工人的培训，操作工人需持证上岗；安排生产负责人定期、不定期监督检查，对于违规操作进行及时更正， 并进行相应处罚；制定合理操作规程，防止在使用过程中由于操作不当，引起大面积泄漏；加强对设备的管理和维护。</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②</w:t>
            </w:r>
            <w:r>
              <w:rPr>
                <w:rFonts w:ascii="Times New Roman" w:hAnsi="Times New Roman" w:eastAsia="宋体" w:cs="Times New Roman"/>
                <w:color w:val="auto"/>
                <w:kern w:val="0"/>
                <w:sz w:val="24"/>
                <w:szCs w:val="24"/>
              </w:rPr>
              <w:t>加强运输过程的管理。如在运输装卸过程中严格执行国家有关规定；运输易燃可燃化学品车辆必须持有“易燃易爆危险化学品三证”、配备相应的消防器材； 驾驶员、押运员必须经消防安全培训合格，方可开展第三方物流运输式；装卸作业使用的工具必须有各种防护装置；运输过程中严禁与明火、高热接触。</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③</w:t>
            </w:r>
            <w:r>
              <w:rPr>
                <w:rFonts w:ascii="Times New Roman" w:hAnsi="Times New Roman" w:eastAsia="宋体" w:cs="Times New Roman"/>
                <w:color w:val="auto"/>
                <w:kern w:val="0"/>
                <w:sz w:val="24"/>
                <w:szCs w:val="24"/>
              </w:rPr>
              <w:t>加强储存过程的管理，在储存过程中应严格遵守各物料储存注意事项。</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④</w:t>
            </w:r>
            <w:r>
              <w:rPr>
                <w:rFonts w:ascii="Times New Roman" w:hAnsi="Times New Roman" w:eastAsia="宋体" w:cs="Times New Roman"/>
                <w:color w:val="auto"/>
                <w:kern w:val="0"/>
                <w:sz w:val="24"/>
                <w:szCs w:val="24"/>
              </w:rPr>
              <w:t>加强生产过程的管理。</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生产过程事故风险防范是安全生产的核心，要严格采取措施加以防范，尽可能降低事故概率。企业应制定各种生产安全管理制度，并在厂内推广实施。将国家要求和安全技术规程悬挂在岗位醒目位置，规范岗位操作，降低事故发生概率。必须组织专人每天每班多次进行周期性巡回检查，有跑冒滴漏或其他异常现象的应及时检修，必要时按照“生产服从安全”原则停车检修，严禁带病或不正常上岗工作。</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⑤</w:t>
            </w:r>
            <w:r>
              <w:rPr>
                <w:rFonts w:ascii="Times New Roman" w:hAnsi="Times New Roman" w:eastAsia="宋体" w:cs="Times New Roman"/>
                <w:color w:val="auto"/>
                <w:kern w:val="0"/>
                <w:sz w:val="24"/>
                <w:szCs w:val="24"/>
              </w:rPr>
              <w:t>密切注意气象预报。</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对于恶劣气象条件下引起的风险事故也需进行防范。由于特大暴雨引起的水淹等灾害事故应积极关注气象预报情况，并联系气象部门进行灾害咨询工作。在事故发生前，做好人员与物资的及时转移。</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事故应急要求</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针对本项目可能存在的危险物质泄漏等事故情形设定，建设单位应强化风险意识、加强安全管理，在运输过程、贮存过程、生产过程、末端处置过程等加强风险防范，定期进行应急演练，使本项目环境风险在可控范围之内，最大程度降低环境风险事故发生的概率。</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、非正常生产及事故时污染物排放应急措施</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主要指拟建污水处理厂非正常工况下造成的事故污染，事故排放会造成受纳水体——</w:t>
            </w:r>
            <w:r>
              <w:rPr>
                <w:rFonts w:hint="eastAsia" w:ascii="Times New Roman" w:hAnsi="Times New Roman" w:eastAsia="宋体" w:cs="Times New Roman"/>
                <w:color w:val="auto"/>
                <w:kern w:val="0"/>
                <w:sz w:val="24"/>
                <w:szCs w:val="24"/>
                <w:lang w:val="en-US" w:eastAsia="zh-CN"/>
              </w:rPr>
              <w:t>滹沱河</w:t>
            </w:r>
            <w:r>
              <w:rPr>
                <w:rFonts w:hint="default" w:ascii="Times New Roman" w:hAnsi="Times New Roman" w:eastAsia="宋体" w:cs="Times New Roman"/>
                <w:color w:val="auto"/>
                <w:kern w:val="0"/>
                <w:sz w:val="24"/>
                <w:szCs w:val="24"/>
              </w:rPr>
              <w:t>各项水质指标瞬间超标，出现水体发臭、水生生物受到影响等；持续的事故废水排放还可能通过下渗进入地下水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污水处理厂正常工况下不会对周边地下水及居民饮用水源造成不良影响，但事故排水状态下可能造成区域局部地下水污染。</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事故工况污染源项主要包括：①进水超标，超出污水处理负荷；②突发暴雨或进厂污水水量超过处理能力，造成污水超越；③突然停电，污水处理设施停运；④厂区污水处理单元出现废水渗漏。</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对于污水处理单元出现的渗漏，评价要求</w:t>
            </w:r>
            <w:r>
              <w:rPr>
                <w:rFonts w:hint="eastAsia" w:ascii="Times New Roman" w:hAnsi="Times New Roman" w:eastAsia="宋体" w:cs="Times New Roman"/>
                <w:color w:val="auto"/>
                <w:kern w:val="0"/>
                <w:sz w:val="24"/>
                <w:szCs w:val="24"/>
                <w:lang w:eastAsia="zh-CN"/>
              </w:rPr>
              <w:t>污水处理厂</w:t>
            </w:r>
            <w:r>
              <w:rPr>
                <w:rFonts w:hint="default" w:ascii="Times New Roman" w:hAnsi="Times New Roman" w:eastAsia="宋体" w:cs="Times New Roman"/>
                <w:color w:val="auto"/>
                <w:kern w:val="0"/>
                <w:sz w:val="24"/>
                <w:szCs w:val="24"/>
              </w:rPr>
              <w:t>所有建（构）筑物底部及污水管渠底部必须采取符合要求的防渗处理措施；</w:t>
            </w:r>
            <w:r>
              <w:rPr>
                <w:rFonts w:hint="eastAsia" w:ascii="Times New Roman" w:hAnsi="Times New Roman" w:eastAsia="宋体" w:cs="Times New Roman"/>
                <w:color w:val="auto"/>
                <w:kern w:val="0"/>
                <w:sz w:val="24"/>
                <w:szCs w:val="24"/>
                <w:lang w:eastAsia="zh-CN"/>
              </w:rPr>
              <w:t>其他事故</w:t>
            </w:r>
            <w:bookmarkStart w:id="28" w:name="_GoBack"/>
            <w:bookmarkEnd w:id="28"/>
            <w:r>
              <w:rPr>
                <w:rFonts w:hint="default" w:ascii="Times New Roman" w:hAnsi="Times New Roman" w:eastAsia="宋体" w:cs="Times New Roman"/>
                <w:color w:val="auto"/>
                <w:kern w:val="0"/>
                <w:sz w:val="24"/>
                <w:szCs w:val="24"/>
              </w:rPr>
              <w:t>防范措施详见以下分析：</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（1）事故预防措施</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 建立污水处理</w:t>
            </w:r>
            <w:r>
              <w:rPr>
                <w:rFonts w:hint="default" w:ascii="Times New Roman" w:hAnsi="Times New Roman" w:eastAsia="宋体" w:cs="Times New Roman"/>
                <w:color w:val="auto"/>
                <w:kern w:val="0"/>
                <w:sz w:val="24"/>
                <w:szCs w:val="24"/>
                <w:lang w:eastAsia="zh-CN"/>
              </w:rPr>
              <w:t>站</w:t>
            </w:r>
            <w:r>
              <w:rPr>
                <w:rFonts w:hint="default" w:ascii="Times New Roman" w:hAnsi="Times New Roman" w:eastAsia="宋体" w:cs="Times New Roman"/>
                <w:color w:val="auto"/>
                <w:kern w:val="0"/>
                <w:sz w:val="24"/>
                <w:szCs w:val="24"/>
              </w:rPr>
              <w:t>各部门运行管理制度和操作责任制度，照章办事，严格管理，杜绝各种责任事故发生。操作人员应严格按照操作规程进行操作，防止因检查不周或失误造成事故；加强设备管理，认真做好设备、管道、阀门等的检查工作，对存在的安全隐患的设备、管道、阀门及时进行修理或更换。及时合理的调节运行工况，严禁超负荷运行。</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② 污水处理的效果受进水污染物负荷、水量、pH值和有毒有害物质含量及水温等因素的影响，如一旦进厂废水冲击负荷过大，冬季水温过低（&lt;10℃），pH值超出6-9的范围将会造成微生物活性下降，还会造成污泥膨胀，导致出水污染物浓度超标，防止此类事故的关键是加强入管网的污水的监控，避免区内工业企业生产废水未经处理直接排入本工程下水管网，确保生物处理设施的正常运行。</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③ 建立可靠的运行监测系统，包括计量、采样、监测、报警等设施，发现异常信息反馈，可及时根据需要调整运行参数，以控制和避免非正常排放的发生。要求：建设在线监测装置，</w:t>
            </w:r>
            <w:r>
              <w:rPr>
                <w:rFonts w:hint="eastAsia" w:ascii="Times New Roman" w:hAnsi="Times New Roman" w:eastAsia="宋体" w:cs="Times New Roman"/>
                <w:color w:val="auto"/>
                <w:kern w:val="0"/>
                <w:sz w:val="24"/>
                <w:szCs w:val="24"/>
                <w:lang w:eastAsia="zh-CN"/>
              </w:rPr>
              <w:t>及时</w:t>
            </w:r>
            <w:r>
              <w:rPr>
                <w:rFonts w:hint="default" w:ascii="Times New Roman" w:hAnsi="Times New Roman" w:eastAsia="宋体" w:cs="Times New Roman"/>
                <w:color w:val="auto"/>
                <w:kern w:val="0"/>
                <w:sz w:val="24"/>
                <w:szCs w:val="24"/>
              </w:rPr>
              <w:t>掌握出水水质，发现超标时应及时采取措施。建设标准排污口。</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④ 加强运行设施的维护和管理，提高设施的完好率，关键设备及配件应备足备件，电源保证双回路供电。此外，一旦发生不可抗拒的自然灾害，应要求接管企业部分或全部停止向管道系统排污。</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⑤ 污水压力管道应设预警系统，一旦发现</w:t>
            </w:r>
            <w:r>
              <w:rPr>
                <w:rFonts w:hint="eastAsia" w:ascii="Times New Roman" w:hAnsi="Times New Roman" w:eastAsia="宋体" w:cs="Times New Roman"/>
                <w:color w:val="auto"/>
                <w:kern w:val="0"/>
                <w:sz w:val="24"/>
                <w:szCs w:val="24"/>
                <w:lang w:eastAsia="zh-CN"/>
              </w:rPr>
              <w:t>污水泄漏</w:t>
            </w:r>
            <w:r>
              <w:rPr>
                <w:rFonts w:hint="default" w:ascii="Times New Roman" w:hAnsi="Times New Roman" w:eastAsia="宋体" w:cs="Times New Roman"/>
                <w:color w:val="auto"/>
                <w:kern w:val="0"/>
                <w:sz w:val="24"/>
                <w:szCs w:val="24"/>
              </w:rPr>
              <w:t>事故，应立即采取停泵、切断阀门，组织抢修等，以控制事故影响。同时在污水管道上方应设置警示牌，避免相邻工程盲目开挖施工对管道的破坏。</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⑥ 制定事故处理应急方案，落实各工作人员的责任，同时定期演练，一旦发生事故能及时处理。</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（2）事故应急措施及注意事项</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当班人员发现污水超标排放立即向领导及值班人员汇报，并在事故处理过程中随时保持与领导组的联系，当班人员及时排查造成超标的原因，查明原因后按照以下几方面</w:t>
            </w:r>
            <w:r>
              <w:rPr>
                <w:rFonts w:hint="eastAsia" w:ascii="Times New Roman" w:hAnsi="Times New Roman" w:eastAsia="宋体" w:cs="Times New Roman"/>
                <w:color w:val="auto"/>
                <w:kern w:val="0"/>
                <w:sz w:val="24"/>
                <w:szCs w:val="24"/>
                <w:lang w:eastAsia="zh-CN"/>
              </w:rPr>
              <w:t>应对</w:t>
            </w:r>
            <w:r>
              <w:rPr>
                <w:rFonts w:hint="default" w:ascii="Times New Roman" w:hAnsi="Times New Roman" w:eastAsia="宋体" w:cs="Times New Roman"/>
                <w:color w:val="auto"/>
                <w:kern w:val="0"/>
                <w:sz w:val="24"/>
                <w:szCs w:val="24"/>
              </w:rPr>
              <w:t>：</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 发现进水超标</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A</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立即向领导汇报，通知污水处理工段减少送水量；B、立即组织化验班组对进水水质、工艺运行参数、出水水质数据进行分析，查找原因，根据化验数据对相关工艺流程进行及时的调整。</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② 突发暴雨</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A</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根据天气预报，组织机修班预先对各设备进行检查，确保完好，组织力量对厂区雨水管线进行疏通，确保畅通；B、各岗位将门窗关紧，防止雨水流入，影响设备运行；C、生产运行班组增加水泵台数，降低集水井水位，直到满负荷为止；D、变电值班人员及时检查避雷是否发挥作用；E、厂抢修队员、车辆做到随叫随到，严阵以待，以应对突发事故的发生。</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③ 水量超过处理能力</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及时与生产部门联系，并取水样化验COD，在达到排放标准及征得上级同意后，将超越阀打开，直至与处理能力相当。</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④ 突然停电</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A</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生产班组人员将现场设备退出运行状态；B、如无法送电，则通知上级主管部门，使管网减少往管线输送污水；C、来电后，按操作规程及时开启设备，恢复运行。</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（3）事故后的清消、恢复和重新进入</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由事故应急指挥领导小组宣布应急状态结束，恢复到正常运行状态。开始对事故原因进行调查，进行事故损失评估，组织力量进行污染区的清消、恢复。</w:t>
            </w:r>
          </w:p>
          <w:p>
            <w:pPr>
              <w:adjustRightInd w:val="0"/>
              <w:snapToGrid w:val="0"/>
              <w:spacing w:line="360" w:lineRule="auto"/>
              <w:ind w:firstLine="480" w:firstLineChars="200"/>
              <w:rPr>
                <w:rFonts w:ascii="Times New Roman" w:hAnsi="Times New Roman" w:eastAsia="宋体" w:cs="Times New Roman"/>
                <w:color w:val="auto"/>
                <w:kern w:val="0"/>
                <w:sz w:val="24"/>
                <w:szCs w:val="24"/>
              </w:rPr>
            </w:pPr>
          </w:p>
          <w:p>
            <w:pPr>
              <w:pStyle w:val="19"/>
              <w:rPr>
                <w:rFonts w:ascii="Times New Roman" w:hAnsi="Times New Roman" w:eastAsia="宋体" w:cs="Times New Roman"/>
                <w:color w:val="auto"/>
                <w:kern w:val="0"/>
                <w:sz w:val="24"/>
                <w:szCs w:val="24"/>
              </w:rPr>
            </w:pPr>
          </w:p>
          <w:p>
            <w:pPr>
              <w:pStyle w:val="20"/>
              <w:ind w:left="0" w:leftChars="0" w:firstLine="0" w:firstLineChars="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pStyle w:val="20"/>
              <w:rPr>
                <w:rFonts w:ascii="Times New Roman" w:hAnsi="Times New Roman" w:eastAsia="宋体" w:cs="Times New Roman"/>
                <w:color w:val="auto"/>
                <w:kern w:val="0"/>
                <w:sz w:val="24"/>
                <w:szCs w:val="24"/>
              </w:rPr>
            </w:pPr>
          </w:p>
          <w:p>
            <w:pPr>
              <w:adjustRightInd w:val="0"/>
              <w:snapToGrid w:val="0"/>
              <w:spacing w:line="360" w:lineRule="auto"/>
              <w:ind w:firstLine="480" w:firstLineChars="200"/>
              <w:rPr>
                <w:rFonts w:ascii="Times New Roman" w:hAnsi="Times New Roman" w:eastAsia="宋体" w:cs="Times New Roman"/>
                <w:color w:val="auto"/>
                <w:kern w:val="0"/>
                <w:sz w:val="24"/>
                <w:szCs w:val="24"/>
              </w:rPr>
            </w:pPr>
          </w:p>
          <w:p>
            <w:pPr>
              <w:adjustRightInd w:val="0"/>
              <w:snapToGrid w:val="0"/>
              <w:jc w:val="left"/>
              <w:rPr>
                <w:rFonts w:ascii="Times New Roman" w:hAnsi="Times New Roman" w:cs="Times New Roman"/>
                <w:color w:val="auto"/>
                <w:kern w:val="0"/>
                <w:szCs w:val="21"/>
              </w:rPr>
            </w:pPr>
          </w:p>
        </w:tc>
      </w:tr>
    </w:tbl>
    <w:p>
      <w:pPr>
        <w:pStyle w:val="16"/>
        <w:jc w:val="center"/>
        <w:outlineLvl w:val="0"/>
        <w:rPr>
          <w:rFonts w:ascii="Times New Roman" w:hAnsi="Times New Roman" w:eastAsia="黑体" w:cs="Times New Roman"/>
          <w:snapToGrid w:val="0"/>
          <w:color w:val="auto"/>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t>五、</w:t>
      </w:r>
      <w:bookmarkStart w:id="26" w:name="_Hlk54167917"/>
      <w:r>
        <w:rPr>
          <w:rFonts w:ascii="Times New Roman" w:hAnsi="Times New Roman" w:eastAsia="黑体" w:cs="Times New Roman"/>
          <w:snapToGrid w:val="0"/>
          <w:color w:val="auto"/>
          <w:sz w:val="30"/>
          <w:szCs w:val="30"/>
        </w:rPr>
        <w:t>环境保护措施监督检查清单</w:t>
      </w:r>
      <w:bookmarkEnd w:id="26"/>
    </w:p>
    <w:tbl>
      <w:tblPr>
        <w:tblStyle w:val="24"/>
        <w:tblW w:w="880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098"/>
        <w:gridCol w:w="1559"/>
        <w:gridCol w:w="1134"/>
        <w:gridCol w:w="2268"/>
        <w:gridCol w:w="274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25" w:hRule="atLeast"/>
          <w:jc w:val="center"/>
        </w:trPr>
        <w:tc>
          <w:tcPr>
            <w:tcW w:w="1098" w:type="dxa"/>
            <w:tcBorders>
              <w:tl2br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ascii="Times New Roman" w:hAnsi="Times New Roman" w:eastAsia="宋体" w:cs="Times New Roman"/>
                <w:color w:val="auto"/>
                <w:szCs w:val="21"/>
              </w:rPr>
            </w:pPr>
            <w:bookmarkStart w:id="27" w:name="_Hlk91757411"/>
            <w:r>
              <w:rPr>
                <w:rFonts w:ascii="Times New Roman" w:hAnsi="Times New Roman" w:eastAsia="宋体" w:cs="Times New Roman"/>
                <w:color w:val="auto"/>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要素</w:t>
            </w:r>
          </w:p>
        </w:tc>
        <w:tc>
          <w:tcPr>
            <w:tcW w:w="1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排放口</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编号、</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名称</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/污染源</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污染物项目</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环境保护措施</w:t>
            </w:r>
          </w:p>
        </w:tc>
        <w:tc>
          <w:tcPr>
            <w:tcW w:w="2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执行标准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88" w:hRule="atLeast"/>
          <w:jc w:val="center"/>
        </w:trPr>
        <w:tc>
          <w:tcPr>
            <w:tcW w:w="10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大气环境</w:t>
            </w:r>
          </w:p>
        </w:tc>
        <w:tc>
          <w:tcPr>
            <w:tcW w:w="15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DA001</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氨</w:t>
            </w:r>
          </w:p>
        </w:tc>
        <w:tc>
          <w:tcPr>
            <w:tcW w:w="226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废气由管道收集后采用UV光解+活性炭处理后经高15m</w:t>
            </w:r>
            <w:r>
              <w:rPr>
                <w:rFonts w:hint="eastAsia" w:ascii="Times New Roman" w:hAnsi="Times New Roman" w:eastAsia="宋体" w:cs="Times New Roman"/>
                <w:color w:val="auto"/>
                <w:kern w:val="0"/>
                <w:szCs w:val="21"/>
              </w:rPr>
              <w:t>、内径0</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8</w:t>
            </w:r>
            <w:r>
              <w:rPr>
                <w:rFonts w:ascii="Times New Roman" w:hAnsi="Times New Roman" w:eastAsia="宋体" w:cs="Times New Roman"/>
                <w:color w:val="auto"/>
                <w:kern w:val="0"/>
                <w:szCs w:val="21"/>
              </w:rPr>
              <w:t>m的排气筒排放</w:t>
            </w:r>
            <w:r>
              <w:rPr>
                <w:rFonts w:hint="eastAsia" w:ascii="Times New Roman" w:hAnsi="Times New Roman" w:eastAsia="宋体" w:cs="Times New Roman"/>
                <w:color w:val="auto"/>
                <w:kern w:val="0"/>
                <w:szCs w:val="21"/>
              </w:rPr>
              <w:t>；污泥间采用排风机进行换气</w:t>
            </w:r>
          </w:p>
        </w:tc>
        <w:tc>
          <w:tcPr>
            <w:tcW w:w="274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《恶臭污染物排放标准》(GB</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14554-93)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0" w:hRule="atLeast"/>
          <w:jc w:val="center"/>
        </w:trPr>
        <w:tc>
          <w:tcPr>
            <w:tcW w:w="10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p>
        </w:tc>
        <w:tc>
          <w:tcPr>
            <w:tcW w:w="15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硫化氢</w:t>
            </w:r>
          </w:p>
        </w:tc>
        <w:tc>
          <w:tcPr>
            <w:tcW w:w="22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p>
        </w:tc>
        <w:tc>
          <w:tcPr>
            <w:tcW w:w="274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05" w:hRule="atLeast"/>
          <w:jc w:val="center"/>
        </w:trPr>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地表水环境</w:t>
            </w:r>
          </w:p>
        </w:tc>
        <w:tc>
          <w:tcPr>
            <w:tcW w:w="1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厂区总排口</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COD</w:t>
            </w:r>
            <w:r>
              <w:rPr>
                <w:rFonts w:ascii="Times New Roman" w:hAnsi="Times New Roman" w:eastAsia="宋体" w:cs="Times New Roman"/>
                <w:color w:val="auto"/>
                <w:kern w:val="0"/>
                <w:szCs w:val="21"/>
                <w:vertAlign w:val="subscript"/>
              </w:rPr>
              <w:t>Cr</w:t>
            </w:r>
            <w:r>
              <w:rPr>
                <w:rFonts w:ascii="Times New Roman" w:hAnsi="Times New Roman" w:eastAsia="宋体" w:cs="Times New Roman"/>
                <w:color w:val="auto"/>
                <w:kern w:val="0"/>
                <w:szCs w:val="21"/>
              </w:rPr>
              <w:t>、BOD</w:t>
            </w:r>
            <w:r>
              <w:rPr>
                <w:rFonts w:ascii="Times New Roman" w:hAnsi="Times New Roman" w:eastAsia="宋体" w:cs="Times New Roman"/>
                <w:color w:val="auto"/>
                <w:kern w:val="0"/>
                <w:szCs w:val="21"/>
                <w:vertAlign w:val="subscript"/>
              </w:rPr>
              <w:t>5</w:t>
            </w:r>
            <w:r>
              <w:rPr>
                <w:rFonts w:ascii="Times New Roman" w:hAnsi="Times New Roman" w:eastAsia="宋体" w:cs="Times New Roman"/>
                <w:color w:val="auto"/>
                <w:kern w:val="0"/>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SS、总氮、氨氮、总磷</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厂区废水处理工艺：预处理+ </w:t>
            </w:r>
            <w:r>
              <w:rPr>
                <w:rFonts w:hint="eastAsia" w:ascii="Times New Roman" w:hAnsi="Times New Roman" w:eastAsia="宋体" w:cs="Times New Roman"/>
                <w:color w:val="auto"/>
                <w:kern w:val="0"/>
                <w:szCs w:val="21"/>
                <w:lang w:val="en-US" w:eastAsia="zh-CN"/>
              </w:rPr>
              <w:t>改良</w:t>
            </w:r>
            <w:r>
              <w:rPr>
                <w:rFonts w:ascii="Times New Roman" w:hAnsi="Times New Roman" w:eastAsia="宋体" w:cs="Times New Roman"/>
                <w:color w:val="auto"/>
                <w:kern w:val="0"/>
                <w:szCs w:val="21"/>
              </w:rPr>
              <w:t>A</w:t>
            </w:r>
            <w:r>
              <w:rPr>
                <w:rFonts w:ascii="Times New Roman" w:hAnsi="Times New Roman" w:eastAsia="宋体" w:cs="Times New Roman"/>
                <w:color w:val="auto"/>
                <w:kern w:val="0"/>
                <w:szCs w:val="21"/>
                <w:vertAlign w:val="superscript"/>
              </w:rPr>
              <w:t>2</w:t>
            </w:r>
            <w:r>
              <w:rPr>
                <w:rFonts w:ascii="Times New Roman" w:hAnsi="Times New Roman" w:eastAsia="宋体" w:cs="Times New Roman"/>
                <w:color w:val="auto"/>
                <w:kern w:val="0"/>
                <w:szCs w:val="21"/>
              </w:rPr>
              <w:t>O</w:t>
            </w:r>
            <w:r>
              <w:rPr>
                <w:rFonts w:hint="eastAsia" w:ascii="Times New Roman" w:hAnsi="Times New Roman" w:eastAsia="宋体" w:cs="Times New Roman"/>
                <w:color w:val="auto"/>
                <w:kern w:val="0"/>
                <w:szCs w:val="21"/>
                <w:lang w:val="en-US" w:eastAsia="zh-CN"/>
              </w:rPr>
              <w:t>生物池+二沉池+高密度沉淀池</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V型</w:t>
            </w:r>
            <w:r>
              <w:rPr>
                <w:rFonts w:ascii="Times New Roman" w:hAnsi="Times New Roman" w:eastAsia="宋体" w:cs="Times New Roman"/>
                <w:color w:val="auto"/>
                <w:kern w:val="0"/>
                <w:szCs w:val="21"/>
              </w:rPr>
              <w:t>滤池；尾水处理达标后经厂区排口排入北侧滹沱河</w:t>
            </w:r>
          </w:p>
        </w:tc>
        <w:tc>
          <w:tcPr>
            <w:tcW w:w="2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COD、氨氮、总磷3项执行</w:t>
            </w:r>
            <w:r>
              <w:rPr>
                <w:rFonts w:hint="eastAsia" w:ascii="Times New Roman" w:hAnsi="Times New Roman" w:eastAsia="宋体" w:cs="Times New Roman"/>
                <w:color w:val="auto"/>
                <w:kern w:val="0"/>
                <w:szCs w:val="21"/>
              </w:rPr>
              <w:t>地表水Ⅴ类标准</w:t>
            </w:r>
            <w:r>
              <w:rPr>
                <w:rFonts w:ascii="Times New Roman" w:hAnsi="Times New Roman" w:eastAsia="宋体" w:cs="Times New Roman"/>
                <w:color w:val="auto"/>
                <w:kern w:val="0"/>
                <w:szCs w:val="21"/>
              </w:rPr>
              <w:t>，其余指标执行《城镇污水处理厂污染物排放标准》（GB18918-2002）一级A标准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05" w:hRule="atLeast"/>
          <w:jc w:val="center"/>
        </w:trPr>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声环境</w:t>
            </w:r>
          </w:p>
        </w:tc>
        <w:tc>
          <w:tcPr>
            <w:tcW w:w="1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东南西北四厂界</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dB(A)</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选用低噪声设备，加强设备管理和维护；合理布置噪声源，远离附近敏感点；做好厂界绿化工作</w:t>
            </w:r>
          </w:p>
        </w:tc>
        <w:tc>
          <w:tcPr>
            <w:tcW w:w="2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《工业企业厂界噪声排放标准》(GB12348-2008)</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中的2类标准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05" w:hRule="atLeast"/>
          <w:jc w:val="center"/>
        </w:trPr>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电磁辐射</w:t>
            </w:r>
          </w:p>
        </w:tc>
        <w:tc>
          <w:tcPr>
            <w:tcW w:w="770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本项目不涉及</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76" w:hRule="atLeast"/>
          <w:jc w:val="center"/>
        </w:trPr>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固体废物</w:t>
            </w:r>
          </w:p>
        </w:tc>
        <w:tc>
          <w:tcPr>
            <w:tcW w:w="770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污泥收集后委托有资质的单位处置，栅渣及沉砂及生活垃圾收集后委托环卫部门定期清运，废包装材料收集后委托物资单位综合利用，废机油、废活性炭</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化验药剂废包装</w:t>
            </w:r>
            <w:r>
              <w:rPr>
                <w:rFonts w:ascii="Times New Roman" w:hAnsi="Times New Roman" w:eastAsia="宋体" w:cs="Times New Roman"/>
                <w:color w:val="auto"/>
                <w:kern w:val="0"/>
                <w:szCs w:val="21"/>
              </w:rPr>
              <w:t>和废灯管于危废间暂存后交由有资质的单位处置。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243" w:hRule="atLeast"/>
          <w:jc w:val="center"/>
        </w:trPr>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土壤及地下水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污染防治措施</w:t>
            </w:r>
          </w:p>
        </w:tc>
        <w:tc>
          <w:tcPr>
            <w:tcW w:w="770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企业需要切实落实好废水集中收集工作，做好厂内地面硬化防渗，特别是对固废堆场、废水收集池和其他易污染区的防渗工作。其中格栅间、生化池、反硝化深床滤池、储泥池、污泥脱水间等要做重点防渗，等效粘土防渗层 Mb≥6.0m，</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K≤10</w:t>
            </w:r>
            <w:r>
              <w:rPr>
                <w:rFonts w:ascii="Times New Roman" w:hAnsi="Times New Roman" w:eastAsia="宋体" w:cs="Times New Roman"/>
                <w:color w:val="auto"/>
                <w:kern w:val="0"/>
                <w:szCs w:val="21"/>
                <w:vertAlign w:val="superscript"/>
              </w:rPr>
              <w:t>-7</w:t>
            </w:r>
            <w:r>
              <w:rPr>
                <w:rFonts w:ascii="Times New Roman" w:hAnsi="Times New Roman" w:eastAsia="宋体" w:cs="Times New Roman"/>
                <w:color w:val="auto"/>
                <w:kern w:val="0"/>
                <w:szCs w:val="21"/>
              </w:rPr>
              <w:t>cm/s；厂区道路、停车场、</w:t>
            </w:r>
            <w:r>
              <w:rPr>
                <w:rFonts w:ascii="Times New Roman" w:hAnsi="Times New Roman" w:eastAsia="宋体" w:cs="Times New Roman"/>
                <w:color w:val="auto"/>
                <w:szCs w:val="21"/>
              </w:rPr>
              <w:t>辅助办公用房等采用简单防渗，采用一般硬化。</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另外加强本项目的土壤和地下水监测工作。</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废水一旦泄漏至土壤和地下水中，土壤/地下水自然恢复需要很长时间。因此，发生污染物泄漏事故后，必须立即启动应急预案，分析污染事故的发展  趋势，并提出下一步预防和防治措施，迅速控制或切断事件灾害链，对污水进行集中处理，使污染扩散得到有效抑制，最大限度地保护土壤和下游地下水安全，将环境影响降到最低。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10" w:hRule="atLeast"/>
          <w:jc w:val="center"/>
        </w:trPr>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生态保护措施</w:t>
            </w:r>
          </w:p>
        </w:tc>
        <w:tc>
          <w:tcPr>
            <w:tcW w:w="770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企业需加强厂区及周围绿化，增加植被，并保护周围生态环境。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29" w:hRule="atLeast"/>
          <w:jc w:val="center"/>
        </w:trPr>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pacing w:val="-8"/>
                <w:szCs w:val="21"/>
              </w:rPr>
            </w:pPr>
            <w:r>
              <w:rPr>
                <w:rFonts w:ascii="Times New Roman" w:hAnsi="Times New Roman" w:eastAsia="宋体" w:cs="Times New Roman"/>
                <w:color w:val="auto"/>
                <w:spacing w:val="-8"/>
                <w:szCs w:val="21"/>
              </w:rPr>
              <w:t>环境风险</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pacing w:val="-8"/>
                <w:szCs w:val="21"/>
              </w:rPr>
            </w:pPr>
            <w:r>
              <w:rPr>
                <w:rFonts w:ascii="Times New Roman" w:hAnsi="Times New Roman" w:eastAsia="宋体" w:cs="Times New Roman"/>
                <w:color w:val="auto"/>
                <w:spacing w:val="-8"/>
                <w:szCs w:val="21"/>
              </w:rPr>
              <w:t>防范措施</w:t>
            </w:r>
          </w:p>
        </w:tc>
        <w:tc>
          <w:tcPr>
            <w:tcW w:w="770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强化风险意识、加强安全管理，在运输过程、贮存过程、生产过程、末端处置过程等加强风险防范，定期进行应急演练</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rPr>
              <w:t>使本项目环境风险在可控范围之内</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rPr>
              <w:t>最大程度降低环境风险事故发生的概率。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11" w:hRule="atLeast"/>
          <w:jc w:val="center"/>
        </w:trPr>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pacing w:val="-8"/>
                <w:szCs w:val="21"/>
              </w:rPr>
            </w:pPr>
            <w:r>
              <w:rPr>
                <w:rFonts w:ascii="Times New Roman" w:hAnsi="Times New Roman" w:eastAsia="宋体" w:cs="Times New Roman"/>
                <w:color w:val="auto"/>
                <w:spacing w:val="-8"/>
                <w:szCs w:val="21"/>
              </w:rPr>
              <w:t>其他环境</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spacing w:val="-8"/>
                <w:szCs w:val="21"/>
              </w:rPr>
            </w:pPr>
            <w:r>
              <w:rPr>
                <w:rFonts w:ascii="Times New Roman" w:hAnsi="Times New Roman" w:eastAsia="宋体" w:cs="Times New Roman"/>
                <w:color w:val="auto"/>
                <w:spacing w:val="-8"/>
                <w:szCs w:val="21"/>
              </w:rPr>
              <w:t>管理要求</w:t>
            </w:r>
          </w:p>
        </w:tc>
        <w:tc>
          <w:tcPr>
            <w:tcW w:w="770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宋体" w:hAnsi="宋体" w:eastAsia="宋体" w:cs="宋体"/>
                <w:color w:val="auto"/>
                <w:kern w:val="0"/>
                <w:szCs w:val="21"/>
              </w:rPr>
              <w:t>①</w:t>
            </w:r>
            <w:r>
              <w:rPr>
                <w:rFonts w:ascii="Times New Roman" w:hAnsi="Times New Roman" w:eastAsia="宋体" w:cs="Times New Roman"/>
                <w:color w:val="auto"/>
                <w:kern w:val="0"/>
                <w:szCs w:val="21"/>
              </w:rPr>
              <w:t>要求企业做好物料管理台账、废气运行设施管理台账、一般固废管理台账、例行监测台账等环保档案。</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宋体" w:hAnsi="宋体" w:eastAsia="宋体" w:cs="宋体"/>
                <w:color w:val="auto"/>
                <w:kern w:val="0"/>
                <w:szCs w:val="21"/>
              </w:rPr>
              <w:t>②</w:t>
            </w:r>
            <w:r>
              <w:rPr>
                <w:rFonts w:ascii="Times New Roman" w:hAnsi="Times New Roman" w:eastAsia="宋体" w:cs="Times New Roman"/>
                <w:color w:val="auto"/>
                <w:kern w:val="0"/>
                <w:szCs w:val="21"/>
              </w:rPr>
              <w:t>根据《固定污染源排污许可分类管理名录</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rPr>
              <w:t>2019 年版</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rPr>
              <w:t>本项目属于“四十一、水的生产和供应业 46——99、污水处理及其再生利用 462——日处理能力</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500 吨及以上 2 万吨以下的城乡污水集中处理场所”</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rPr>
              <w:t>应实行排污许可简化管理。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宋体" w:hAnsi="宋体" w:eastAsia="宋体" w:cs="宋体"/>
                <w:color w:val="auto"/>
                <w:kern w:val="0"/>
                <w:szCs w:val="21"/>
              </w:rPr>
              <w:t>③</w:t>
            </w:r>
            <w:r>
              <w:rPr>
                <w:rFonts w:ascii="Times New Roman" w:hAnsi="Times New Roman" w:eastAsia="宋体" w:cs="Times New Roman"/>
                <w:color w:val="auto"/>
                <w:kern w:val="0"/>
                <w:szCs w:val="21"/>
              </w:rPr>
              <w:t>要求企业按照本环评及排污许可证要求，落实厂区污染源例行监测计划。</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Cs w:val="21"/>
              </w:rPr>
            </w:pPr>
            <w:r>
              <w:rPr>
                <w:rFonts w:hint="eastAsia" w:ascii="宋体" w:hAnsi="宋体" w:eastAsia="宋体" w:cs="宋体"/>
                <w:color w:val="auto"/>
                <w:kern w:val="0"/>
                <w:szCs w:val="21"/>
              </w:rPr>
              <w:t>④</w:t>
            </w:r>
            <w:r>
              <w:rPr>
                <w:rFonts w:ascii="Times New Roman" w:hAnsi="Times New Roman" w:eastAsia="宋体" w:cs="Times New Roman"/>
                <w:color w:val="auto"/>
                <w:kern w:val="0"/>
                <w:szCs w:val="21"/>
              </w:rPr>
              <w:t>要求企业做好厂内环境卫生管理，做到厂区整洁，无“跑冒滴漏”等情况发生。</w:t>
            </w:r>
          </w:p>
        </w:tc>
      </w:tr>
      <w:bookmarkEnd w:id="27"/>
    </w:tbl>
    <w:p>
      <w:pPr>
        <w:pStyle w:val="16"/>
        <w:jc w:val="center"/>
        <w:rPr>
          <w:rFonts w:ascii="Times New Roman" w:hAnsi="Times New Roman" w:eastAsia="黑体" w:cs="Times New Roman"/>
          <w:snapToGrid w:val="0"/>
          <w:color w:val="auto"/>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t>六、结论</w:t>
      </w:r>
    </w:p>
    <w:tbl>
      <w:tblPr>
        <w:tblStyle w:val="24"/>
        <w:tblW w:w="8865"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tcPr>
          <w:p>
            <w:pPr>
              <w:adjustRightInd w:val="0"/>
              <w:snapToGrid w:val="0"/>
              <w:spacing w:line="360" w:lineRule="auto"/>
              <w:ind w:firstLine="48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lang w:val="en-US" w:eastAsia="zh-CN"/>
              </w:rPr>
              <w:t>6.1结论</w:t>
            </w:r>
            <w:r>
              <w:rPr>
                <w:rFonts w:ascii="Times New Roman" w:hAnsi="Times New Roman" w:eastAsia="宋体" w:cs="Times New Roman"/>
                <w:b/>
                <w:bCs/>
                <w:color w:val="auto"/>
                <w:kern w:val="0"/>
                <w:sz w:val="24"/>
                <w:szCs w:val="24"/>
              </w:rPr>
              <w:t xml:space="preserve"> </w:t>
            </w:r>
          </w:p>
          <w:p>
            <w:pPr>
              <w:adjustRightInd w:val="0"/>
              <w:snapToGrid w:val="0"/>
              <w:spacing w:line="360" w:lineRule="auto"/>
              <w:ind w:firstLine="480" w:firstLineChars="200"/>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 xml:space="preserve"> </w:t>
            </w:r>
            <w:r>
              <w:rPr>
                <w:rFonts w:hint="eastAsia" w:ascii="Times New Roman" w:hAnsi="Times New Roman" w:eastAsia="宋体" w:cs="Times New Roman"/>
                <w:b w:val="0"/>
                <w:bCs w:val="0"/>
                <w:color w:val="auto"/>
                <w:kern w:val="0"/>
                <w:sz w:val="24"/>
                <w:szCs w:val="24"/>
              </w:rPr>
              <w:t>繁峙县第二污水处理厂及管网配套工程项目</w:t>
            </w:r>
            <w:r>
              <w:rPr>
                <w:rFonts w:ascii="Times New Roman" w:hAnsi="Times New Roman" w:eastAsia="宋体" w:cs="Times New Roman"/>
                <w:b w:val="0"/>
                <w:bCs w:val="0"/>
                <w:color w:val="auto"/>
                <w:kern w:val="0"/>
                <w:sz w:val="24"/>
                <w:szCs w:val="24"/>
              </w:rPr>
              <w:t>项目符合</w:t>
            </w:r>
            <w:r>
              <w:rPr>
                <w:rFonts w:hint="eastAsia" w:ascii="Times New Roman" w:hAnsi="Times New Roman" w:eastAsia="宋体" w:cs="Times New Roman"/>
                <w:b w:val="0"/>
                <w:bCs w:val="0"/>
                <w:color w:val="auto"/>
                <w:kern w:val="0"/>
                <w:sz w:val="24"/>
                <w:szCs w:val="24"/>
              </w:rPr>
              <w:t>《忻州市“三线一单”生态环境分区管控实施方案》（忻政发〔</w:t>
            </w:r>
            <w:r>
              <w:rPr>
                <w:rFonts w:ascii="Times New Roman" w:hAnsi="Times New Roman" w:eastAsia="宋体" w:cs="Times New Roman"/>
                <w:b w:val="0"/>
                <w:bCs w:val="0"/>
                <w:color w:val="auto"/>
                <w:kern w:val="0"/>
                <w:sz w:val="24"/>
                <w:szCs w:val="24"/>
              </w:rPr>
              <w:t>2021〕12号）的控制要求；建设项目选址布局符合主体功能区规划、土地利用总体规划的要求；建设项目符合国家、省、市产业政策；排放污染物不超过国家和地方规定的污染物排放标准；符合“三线一单”控制要求。因此， 从环境保护角度看，本项目的建设是可行的。</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6.2建议</w:t>
            </w:r>
          </w:p>
          <w:p>
            <w:pPr>
              <w:adjustRightInd w:val="0"/>
              <w:snapToGrid w:val="0"/>
              <w:spacing w:line="360" w:lineRule="auto"/>
              <w:ind w:firstLine="480" w:firstLineChars="200"/>
              <w:rPr>
                <w:rFonts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lang w:val="en-US" w:eastAsia="zh-CN"/>
              </w:rPr>
              <w:t>2021年1月，发改委等十部委印发了</w:t>
            </w:r>
            <w:r>
              <w:rPr>
                <w:rFonts w:hint="default" w:ascii="Times New Roman" w:hAnsi="Times New Roman" w:eastAsia="宋体" w:cs="Times New Roman"/>
                <w:b w:val="0"/>
                <w:bCs w:val="0"/>
                <w:color w:val="auto"/>
                <w:kern w:val="0"/>
                <w:sz w:val="24"/>
                <w:szCs w:val="24"/>
              </w:rPr>
              <w:t>《关于推进污水资源化利用的指导意见》</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lang w:val="en-US" w:eastAsia="zh-CN"/>
              </w:rPr>
              <w:t>发改环资</w:t>
            </w:r>
            <w:r>
              <w:rPr>
                <w:rFonts w:hint="default" w:ascii="Times New Roman" w:hAnsi="Times New Roman" w:eastAsia="宋体" w:cs="Times New Roman"/>
                <w:b w:val="0"/>
                <w:bCs w:val="0"/>
                <w:color w:val="auto"/>
                <w:kern w:val="0"/>
                <w:sz w:val="24"/>
                <w:szCs w:val="24"/>
              </w:rPr>
              <w:t>〔</w:t>
            </w:r>
            <w:r>
              <w:rPr>
                <w:rFonts w:hint="default" w:ascii="Times New Roman" w:hAnsi="Times New Roman" w:eastAsia="宋体" w:cs="Times New Roman"/>
                <w:b w:val="0"/>
                <w:bCs w:val="0"/>
                <w:color w:val="auto"/>
                <w:kern w:val="0"/>
                <w:sz w:val="24"/>
                <w:szCs w:val="24"/>
                <w:lang w:val="en-US" w:eastAsia="zh-CN"/>
              </w:rPr>
              <w:t>2021</w:t>
            </w:r>
            <w:r>
              <w:rPr>
                <w:rFonts w:hint="default" w:ascii="Times New Roman" w:hAnsi="Times New Roman" w:eastAsia="宋体" w:cs="Times New Roman"/>
                <w:b w:val="0"/>
                <w:bCs w:val="0"/>
                <w:color w:val="auto"/>
                <w:kern w:val="0"/>
                <w:sz w:val="24"/>
                <w:szCs w:val="24"/>
              </w:rPr>
              <w:t>〕</w:t>
            </w:r>
            <w:r>
              <w:rPr>
                <w:rFonts w:hint="default" w:ascii="Times New Roman" w:hAnsi="Times New Roman" w:eastAsia="宋体" w:cs="Times New Roman"/>
                <w:b w:val="0"/>
                <w:bCs w:val="0"/>
                <w:color w:val="auto"/>
                <w:kern w:val="0"/>
                <w:sz w:val="24"/>
                <w:szCs w:val="24"/>
                <w:lang w:val="en-US" w:eastAsia="zh-CN"/>
              </w:rPr>
              <w:t>13</w:t>
            </w:r>
            <w:r>
              <w:rPr>
                <w:rFonts w:hint="default" w:ascii="Times New Roman" w:hAnsi="Times New Roman" w:eastAsia="宋体" w:cs="Times New Roman"/>
                <w:b w:val="0"/>
                <w:bCs w:val="0"/>
                <w:color w:val="auto"/>
                <w:kern w:val="0"/>
                <w:sz w:val="24"/>
                <w:szCs w:val="24"/>
              </w:rPr>
              <w:t>号</w:t>
            </w:r>
            <w:r>
              <w:rPr>
                <w:rFonts w:hint="default" w:ascii="Times New Roman" w:hAnsi="Times New Roman" w:eastAsia="宋体" w:cs="Times New Roman"/>
                <w:b w:val="0"/>
                <w:bCs w:val="0"/>
                <w:color w:val="auto"/>
                <w:kern w:val="0"/>
                <w:sz w:val="24"/>
                <w:szCs w:val="24"/>
                <w:lang w:eastAsia="zh-CN"/>
              </w:rPr>
              <w:t>），</w:t>
            </w:r>
            <w:r>
              <w:rPr>
                <w:rFonts w:hint="default" w:ascii="Times New Roman" w:hAnsi="Times New Roman" w:eastAsia="宋体" w:cs="Times New Roman"/>
                <w:b w:val="0"/>
                <w:bCs w:val="0"/>
                <w:color w:val="auto"/>
                <w:kern w:val="0"/>
                <w:sz w:val="24"/>
                <w:szCs w:val="24"/>
                <w:lang w:val="en-US" w:eastAsia="zh-CN"/>
              </w:rPr>
              <w:t>指出要系统分析日益增长的生产、生活和生态用水需求，以现有污水处理厂为基础，合理布局再生水利用基础设施。</w:t>
            </w:r>
          </w:p>
          <w:p>
            <w:pPr>
              <w:adjustRightInd w:val="0"/>
              <w:snapToGrid w:val="0"/>
              <w:spacing w:line="360" w:lineRule="auto"/>
              <w:ind w:firstLine="480" w:firstLineChars="200"/>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因此项目后期建设完成后应充分发挥城市污水再生资源，以此削减水污染负荷、节约用水、促进水的循环利用、提高水的利用效率，倡导县城工业用水、景观环境用水、道路冲洗和绿化浇洒等市政用水等优先利用再生水；建立可持续发展的水资源利用方式。</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szCs w:val="24"/>
                <w:lang w:val="en-US" w:eastAsia="zh-CN"/>
              </w:rPr>
            </w:pPr>
          </w:p>
          <w:p>
            <w:pPr>
              <w:adjustRightInd w:val="0"/>
              <w:snapToGrid w:val="0"/>
              <w:rPr>
                <w:rFonts w:ascii="Times New Roman" w:hAnsi="Times New Roman" w:cs="Times New Roman"/>
                <w:color w:val="auto"/>
                <w:kern w:val="0"/>
                <w:szCs w:val="21"/>
              </w:rPr>
            </w:pPr>
          </w:p>
          <w:p>
            <w:pPr>
              <w:adjustRightInd w:val="0"/>
              <w:snapToGrid w:val="0"/>
              <w:rPr>
                <w:rFonts w:ascii="Times New Roman" w:hAnsi="Times New Roman" w:cs="Times New Roman"/>
                <w:color w:val="auto"/>
                <w:kern w:val="0"/>
                <w:szCs w:val="21"/>
              </w:rPr>
            </w:pPr>
          </w:p>
          <w:p>
            <w:pPr>
              <w:adjustRightInd w:val="0"/>
              <w:snapToGrid w:val="0"/>
              <w:rPr>
                <w:rFonts w:ascii="Times New Roman" w:hAnsi="Times New Roman" w:cs="Times New Roman"/>
                <w:color w:val="auto"/>
                <w:sz w:val="24"/>
              </w:rPr>
            </w:pPr>
          </w:p>
        </w:tc>
      </w:tr>
    </w:tbl>
    <w:p>
      <w:pPr>
        <w:pStyle w:val="16"/>
        <w:jc w:val="center"/>
        <w:rPr>
          <w:rFonts w:ascii="Times New Roman" w:hAnsi="Times New Roman" w:eastAsia="黑体" w:cs="Times New Roman"/>
          <w:snapToGrid w:val="0"/>
          <w:color w:val="auto"/>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444" w:hRule="atLeast"/>
          <w:jc w:val="center"/>
        </w:trPr>
        <w:tc>
          <w:tcPr>
            <w:tcW w:w="9354" w:type="dxa"/>
          </w:tcPr>
          <w:p>
            <w:pPr>
              <w:spacing w:before="156" w:beforeLines="50" w:line="360" w:lineRule="auto"/>
              <w:ind w:firstLine="3360" w:firstLineChars="1200"/>
              <w:rPr>
                <w:rFonts w:ascii="Times New Roman" w:hAnsi="Times New Roman" w:eastAsia="宋体" w:cs="Times New Roman"/>
                <w:bCs/>
                <w:color w:val="auto"/>
                <w:sz w:val="28"/>
                <w:szCs w:val="28"/>
              </w:rPr>
            </w:pPr>
            <w:r>
              <w:rPr>
                <w:rFonts w:ascii="Times New Roman" w:hAnsi="Times New Roman" w:eastAsia="宋体" w:cs="Times New Roman"/>
                <w:bCs/>
                <w:color w:val="auto"/>
                <w:sz w:val="28"/>
                <w:szCs w:val="28"/>
              </w:rPr>
              <w:t>注       释</w:t>
            </w:r>
          </w:p>
          <w:p>
            <w:pPr>
              <w:tabs>
                <w:tab w:val="left" w:pos="1260"/>
              </w:tabs>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一、本报告表应附以下附件、附图：</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附件1  委托书</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附件2  立项文件</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附件3  土地性质证明文件</w:t>
            </w:r>
          </w:p>
          <w:p>
            <w:pPr>
              <w:pStyle w:val="19"/>
              <w:snapToGrid w:val="0"/>
              <w:spacing w:after="0" w:line="360" w:lineRule="auto"/>
              <w:ind w:firstLine="480" w:firstLineChars="200"/>
              <w:jc w:val="left"/>
              <w:rPr>
                <w:bCs/>
                <w:color w:val="auto"/>
                <w:sz w:val="24"/>
                <w:szCs w:val="24"/>
              </w:rPr>
            </w:pPr>
            <w:r>
              <w:rPr>
                <w:bCs/>
                <w:color w:val="auto"/>
                <w:sz w:val="24"/>
                <w:szCs w:val="24"/>
              </w:rPr>
              <w:t>附表</w:t>
            </w:r>
            <w:r>
              <w:rPr>
                <w:rFonts w:hint="eastAsia"/>
                <w:bCs/>
                <w:color w:val="auto"/>
                <w:sz w:val="24"/>
                <w:szCs w:val="24"/>
                <w:lang w:val="en-US" w:eastAsia="zh-CN"/>
              </w:rPr>
              <w:t>4</w:t>
            </w:r>
            <w:r>
              <w:rPr>
                <w:bCs/>
                <w:color w:val="auto"/>
                <w:sz w:val="24"/>
                <w:szCs w:val="24"/>
              </w:rPr>
              <w:t xml:space="preserve"> 监测报告</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附图1  项目地理位置图</w:t>
            </w:r>
            <w:r>
              <w:rPr>
                <w:rFonts w:hint="eastAsia" w:ascii="Times New Roman" w:hAnsi="Times New Roman" w:eastAsia="宋体" w:cs="Times New Roman"/>
                <w:bCs/>
                <w:color w:val="auto"/>
                <w:sz w:val="24"/>
                <w:szCs w:val="24"/>
              </w:rPr>
              <w:t xml:space="preserve"> </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附图2  四邻关系图</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 xml:space="preserve">附图3  </w:t>
            </w:r>
            <w:r>
              <w:rPr>
                <w:rFonts w:hint="eastAsia" w:ascii="Times New Roman" w:hAnsi="Times New Roman" w:eastAsia="宋体" w:cs="Times New Roman"/>
                <w:bCs/>
                <w:color w:val="auto"/>
                <w:sz w:val="24"/>
                <w:szCs w:val="24"/>
              </w:rPr>
              <w:t>厂区平面布置</w:t>
            </w:r>
            <w:r>
              <w:rPr>
                <w:rFonts w:hint="eastAsia" w:ascii="Times New Roman" w:hAnsi="Times New Roman" w:eastAsia="宋体" w:cs="Times New Roman"/>
                <w:bCs/>
                <w:color w:val="auto"/>
                <w:sz w:val="24"/>
                <w:szCs w:val="24"/>
                <w:lang w:val="en-US" w:eastAsia="zh-CN"/>
              </w:rPr>
              <w:t>示意</w:t>
            </w:r>
            <w:r>
              <w:rPr>
                <w:rFonts w:hint="eastAsia" w:ascii="Times New Roman" w:hAnsi="Times New Roman" w:eastAsia="宋体" w:cs="Times New Roman"/>
                <w:bCs/>
                <w:color w:val="auto"/>
                <w:sz w:val="24"/>
                <w:szCs w:val="24"/>
              </w:rPr>
              <w:t>图</w:t>
            </w:r>
          </w:p>
          <w:p>
            <w:pPr>
              <w:adjustRightInd w:val="0"/>
              <w:snapToGrid w:val="0"/>
              <w:spacing w:line="360" w:lineRule="auto"/>
              <w:ind w:firstLine="480" w:firstLineChars="200"/>
              <w:jc w:val="left"/>
              <w:textAlignment w:val="baseline"/>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附图</w:t>
            </w:r>
            <w:r>
              <w:rPr>
                <w:rFonts w:hint="eastAsia" w:ascii="Times New Roman" w:hAnsi="Times New Roman" w:eastAsia="宋体" w:cs="Times New Roman"/>
                <w:bCs/>
                <w:color w:val="auto"/>
                <w:sz w:val="24"/>
                <w:szCs w:val="24"/>
                <w:lang w:val="en-US" w:eastAsia="zh-CN"/>
              </w:rPr>
              <w:t>3.1</w:t>
            </w:r>
            <w:r>
              <w:rPr>
                <w:rFonts w:hint="default" w:ascii="Times New Roman" w:hAnsi="Times New Roman" w:eastAsia="宋体" w:cs="Times New Roman"/>
                <w:bCs/>
                <w:color w:val="auto"/>
                <w:sz w:val="24"/>
                <w:szCs w:val="24"/>
                <w:lang w:val="en-US" w:eastAsia="zh-CN"/>
              </w:rPr>
              <w:t xml:space="preserve">  县城现状管网走向示意图</w:t>
            </w:r>
          </w:p>
          <w:p>
            <w:pPr>
              <w:adjustRightInd w:val="0"/>
              <w:snapToGrid w:val="0"/>
              <w:spacing w:line="360" w:lineRule="auto"/>
              <w:ind w:firstLine="480" w:firstLineChars="200"/>
              <w:jc w:val="left"/>
              <w:textAlignment w:val="baseline"/>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附图</w:t>
            </w:r>
            <w:r>
              <w:rPr>
                <w:rFonts w:hint="eastAsia" w:ascii="Times New Roman" w:hAnsi="Times New Roman" w:eastAsia="宋体" w:cs="Times New Roman"/>
                <w:bCs/>
                <w:color w:val="auto"/>
                <w:sz w:val="24"/>
                <w:szCs w:val="24"/>
                <w:lang w:val="en-US" w:eastAsia="zh-CN"/>
              </w:rPr>
              <w:t>3.2</w:t>
            </w:r>
            <w:r>
              <w:rPr>
                <w:rFonts w:hint="default" w:ascii="Times New Roman" w:hAnsi="Times New Roman" w:eastAsia="宋体" w:cs="Times New Roman"/>
                <w:bCs/>
                <w:color w:val="auto"/>
                <w:sz w:val="24"/>
                <w:szCs w:val="24"/>
                <w:lang w:val="en-US" w:eastAsia="zh-CN"/>
              </w:rPr>
              <w:t xml:space="preserve">  本次新建管网走向示意图</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 xml:space="preserve">附图4 </w:t>
            </w:r>
            <w:r>
              <w:rPr>
                <w:rFonts w:hint="default" w:ascii="Times New Roman" w:hAnsi="Times New Roman" w:eastAsia="宋体" w:cs="Times New Roman"/>
                <w:bCs/>
                <w:color w:val="auto"/>
                <w:sz w:val="24"/>
                <w:szCs w:val="24"/>
                <w:lang w:val="en-US" w:eastAsia="zh-CN"/>
              </w:rPr>
              <w:t>繁峙县水源地分布图</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 xml:space="preserve">附图5  </w:t>
            </w:r>
            <w:r>
              <w:rPr>
                <w:rFonts w:hint="default" w:ascii="Times New Roman" w:hAnsi="Times New Roman" w:eastAsia="宋体" w:cs="Times New Roman"/>
                <w:bCs/>
                <w:color w:val="auto"/>
                <w:sz w:val="24"/>
                <w:szCs w:val="24"/>
                <w:lang w:val="en-US" w:eastAsia="zh-CN"/>
              </w:rPr>
              <w:t>河流水系图</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 xml:space="preserve">附图6  </w:t>
            </w:r>
            <w:r>
              <w:rPr>
                <w:rFonts w:hint="default" w:ascii="Times New Roman" w:hAnsi="Times New Roman" w:eastAsia="宋体" w:cs="Times New Roman"/>
                <w:bCs/>
                <w:color w:val="auto"/>
                <w:sz w:val="24"/>
                <w:szCs w:val="24"/>
                <w:lang w:val="en-US" w:eastAsia="zh-CN"/>
              </w:rPr>
              <w:t>繁峙县生态功能分区图</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 xml:space="preserve">附图7  </w:t>
            </w:r>
            <w:r>
              <w:rPr>
                <w:rFonts w:hint="eastAsia" w:ascii="Times New Roman" w:hAnsi="Times New Roman" w:eastAsia="宋体" w:cs="Times New Roman"/>
                <w:bCs/>
                <w:color w:val="auto"/>
                <w:sz w:val="24"/>
                <w:szCs w:val="24"/>
              </w:rPr>
              <w:t>繁峙县生态经济区划图</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附图</w:t>
            </w:r>
            <w:r>
              <w:rPr>
                <w:rFonts w:hint="eastAsia" w:ascii="Times New Roman" w:hAnsi="Times New Roman" w:eastAsia="宋体" w:cs="Times New Roman"/>
                <w:bCs/>
                <w:color w:val="auto"/>
                <w:sz w:val="24"/>
                <w:szCs w:val="24"/>
              </w:rPr>
              <w:t>8</w:t>
            </w:r>
            <w:r>
              <w:rPr>
                <w:rFonts w:ascii="Times New Roman" w:hAnsi="Times New Roman" w:eastAsia="宋体" w:cs="Times New Roman"/>
                <w:bCs/>
                <w:color w:val="auto"/>
                <w:sz w:val="24"/>
                <w:szCs w:val="24"/>
              </w:rPr>
              <w:t xml:space="preserve">  </w:t>
            </w:r>
            <w:r>
              <w:rPr>
                <w:rFonts w:hint="default" w:ascii="Times New Roman" w:hAnsi="Times New Roman" w:eastAsia="宋体" w:cs="Times New Roman"/>
                <w:bCs/>
                <w:color w:val="auto"/>
                <w:sz w:val="24"/>
                <w:szCs w:val="24"/>
                <w:lang w:val="en-US" w:eastAsia="zh-CN"/>
              </w:rPr>
              <w:t>山西省生态环境管控单元分布图</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附图</w:t>
            </w:r>
            <w:r>
              <w:rPr>
                <w:rFonts w:hint="eastAsia" w:ascii="Times New Roman" w:hAnsi="Times New Roman" w:eastAsia="宋体" w:cs="Times New Roman"/>
                <w:bCs/>
                <w:color w:val="auto"/>
                <w:sz w:val="24"/>
                <w:szCs w:val="24"/>
              </w:rPr>
              <w:t>9</w:t>
            </w:r>
            <w:r>
              <w:rPr>
                <w:rFonts w:ascii="Times New Roman" w:hAnsi="Times New Roman" w:eastAsia="宋体" w:cs="Times New Roman"/>
                <w:bCs/>
                <w:color w:val="auto"/>
                <w:sz w:val="24"/>
                <w:szCs w:val="24"/>
              </w:rPr>
              <w:t xml:space="preserve">  </w:t>
            </w:r>
            <w:r>
              <w:rPr>
                <w:rFonts w:hint="eastAsia" w:ascii="Times New Roman" w:hAnsi="Times New Roman" w:eastAsia="宋体" w:cs="Times New Roman"/>
                <w:bCs/>
                <w:color w:val="auto"/>
                <w:sz w:val="24"/>
                <w:szCs w:val="24"/>
                <w:lang w:val="en-US" w:eastAsia="zh-CN"/>
              </w:rPr>
              <w:t>忻州市</w:t>
            </w:r>
            <w:r>
              <w:rPr>
                <w:rFonts w:hint="default" w:ascii="Times New Roman" w:hAnsi="Times New Roman" w:eastAsia="宋体" w:cs="Times New Roman"/>
                <w:bCs/>
                <w:color w:val="auto"/>
                <w:sz w:val="24"/>
                <w:szCs w:val="24"/>
                <w:lang w:val="en-US" w:eastAsia="zh-CN"/>
              </w:rPr>
              <w:t>生态环境管控单元分布图</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附图</w:t>
            </w:r>
            <w:r>
              <w:rPr>
                <w:rFonts w:hint="eastAsia" w:ascii="Times New Roman" w:hAnsi="Times New Roman" w:eastAsia="宋体" w:cs="Times New Roman"/>
                <w:bCs/>
                <w:color w:val="auto"/>
                <w:sz w:val="24"/>
                <w:szCs w:val="24"/>
              </w:rPr>
              <w:t>1</w:t>
            </w:r>
            <w:r>
              <w:rPr>
                <w:rFonts w:ascii="Times New Roman" w:hAnsi="Times New Roman" w:eastAsia="宋体" w:cs="Times New Roman"/>
                <w:bCs/>
                <w:color w:val="auto"/>
                <w:sz w:val="24"/>
                <w:szCs w:val="24"/>
              </w:rPr>
              <w:t xml:space="preserve">0  </w:t>
            </w:r>
            <w:r>
              <w:rPr>
                <w:rFonts w:hint="eastAsia" w:ascii="Times New Roman" w:hAnsi="Times New Roman" w:eastAsia="宋体" w:cs="Times New Roman"/>
                <w:bCs/>
                <w:color w:val="auto"/>
                <w:sz w:val="24"/>
                <w:szCs w:val="24"/>
                <w:lang w:val="en-US" w:eastAsia="zh-CN"/>
              </w:rPr>
              <w:t>繁峙县县城总体规划</w:t>
            </w:r>
            <w:r>
              <w:rPr>
                <w:rFonts w:hint="default" w:ascii="Times New Roman" w:hAnsi="Times New Roman" w:eastAsia="宋体" w:cs="Times New Roman"/>
                <w:bCs/>
                <w:color w:val="auto"/>
                <w:sz w:val="24"/>
                <w:szCs w:val="24"/>
                <w:lang w:val="en-US" w:eastAsia="zh-CN"/>
              </w:rPr>
              <w:t>图</w:t>
            </w:r>
          </w:p>
          <w:p>
            <w:pPr>
              <w:adjustRightInd w:val="0"/>
              <w:snapToGrid w:val="0"/>
              <w:spacing w:line="360" w:lineRule="auto"/>
              <w:ind w:firstLine="480" w:firstLineChars="200"/>
              <w:jc w:val="left"/>
              <w:textAlignment w:val="baseline"/>
              <w:rPr>
                <w:rFonts w:hint="eastAsia"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附图</w:t>
            </w:r>
            <w:r>
              <w:rPr>
                <w:rFonts w:hint="eastAsia" w:ascii="Times New Roman" w:hAnsi="Times New Roman" w:eastAsia="宋体" w:cs="Times New Roman"/>
                <w:bCs/>
                <w:color w:val="auto"/>
                <w:sz w:val="24"/>
                <w:szCs w:val="24"/>
              </w:rPr>
              <w:t>1</w:t>
            </w:r>
            <w:r>
              <w:rPr>
                <w:rFonts w:ascii="Times New Roman" w:hAnsi="Times New Roman" w:eastAsia="宋体" w:cs="Times New Roman"/>
                <w:bCs/>
                <w:color w:val="auto"/>
                <w:sz w:val="24"/>
                <w:szCs w:val="24"/>
              </w:rPr>
              <w:t xml:space="preserve">1  </w:t>
            </w:r>
            <w:r>
              <w:rPr>
                <w:rFonts w:hint="eastAsia" w:ascii="Times New Roman" w:hAnsi="Times New Roman" w:eastAsia="宋体" w:cs="Times New Roman"/>
                <w:bCs/>
                <w:color w:val="auto"/>
                <w:sz w:val="24"/>
                <w:szCs w:val="24"/>
                <w:lang w:val="en-US" w:eastAsia="zh-CN"/>
              </w:rPr>
              <w:t>土壤</w:t>
            </w:r>
            <w:r>
              <w:rPr>
                <w:rFonts w:hint="eastAsia" w:ascii="Times New Roman" w:hAnsi="Times New Roman" w:eastAsia="宋体" w:cs="Times New Roman"/>
                <w:bCs/>
                <w:color w:val="auto"/>
                <w:sz w:val="24"/>
                <w:szCs w:val="24"/>
              </w:rPr>
              <w:t>监测点位示意图</w:t>
            </w:r>
          </w:p>
          <w:p>
            <w:pPr>
              <w:adjustRightInd w:val="0"/>
              <w:snapToGrid w:val="0"/>
              <w:spacing w:line="360" w:lineRule="auto"/>
              <w:ind w:firstLine="480" w:firstLineChars="200"/>
              <w:jc w:val="left"/>
              <w:textAlignment w:val="baseline"/>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附图12  地下水监测点位示意图</w:t>
            </w:r>
          </w:p>
          <w:p>
            <w:pPr>
              <w:adjustRightInd w:val="0"/>
              <w:snapToGrid w:val="0"/>
              <w:spacing w:line="360" w:lineRule="auto"/>
              <w:ind w:firstLine="480" w:firstLineChars="200"/>
              <w:jc w:val="left"/>
              <w:textAlignment w:val="baseline"/>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附图13  地表水监测点位示意图</w:t>
            </w:r>
          </w:p>
          <w:p>
            <w:pPr>
              <w:tabs>
                <w:tab w:val="left" w:pos="1260"/>
              </w:tabs>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二、如果本报告表不能说明项目产生的污染及对环境造成的影响，应进行专项评价。根据建设项目的特点和当地环境牲，应选取下列1-2项进行专项评价。</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1、大气环境影响专项评价</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2、水环境影响专项评价（包括地表水和地下水）</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3、生态影响专项评价</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4、声影响专项评价</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5、土壤影响专项评价</w:t>
            </w:r>
          </w:p>
          <w:p>
            <w:pPr>
              <w:adjustRightInd w:val="0"/>
              <w:snapToGrid w:val="0"/>
              <w:spacing w:line="360" w:lineRule="auto"/>
              <w:ind w:firstLine="480" w:firstLineChars="200"/>
              <w:jc w:val="left"/>
              <w:textAlignment w:val="baseline"/>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6、固体废弃物影响专项评价</w:t>
            </w:r>
          </w:p>
          <w:p>
            <w:pPr>
              <w:adjustRightInd w:val="0"/>
              <w:snapToGrid w:val="0"/>
              <w:spacing w:line="360" w:lineRule="auto"/>
              <w:ind w:firstLine="480" w:firstLineChars="200"/>
              <w:jc w:val="left"/>
              <w:textAlignment w:val="baseline"/>
              <w:rPr>
                <w:rFonts w:ascii="Times New Roman" w:hAnsi="Times New Roman" w:eastAsia="宋体" w:cs="Times New Roman"/>
                <w:color w:val="auto"/>
              </w:rPr>
            </w:pPr>
            <w:r>
              <w:rPr>
                <w:rFonts w:ascii="Times New Roman" w:hAnsi="Times New Roman" w:eastAsia="宋体" w:cs="Times New Roman"/>
                <w:bCs/>
                <w:color w:val="auto"/>
                <w:sz w:val="24"/>
                <w:szCs w:val="24"/>
              </w:rPr>
              <w:t>以上专项评价未包括的可另列专项，专项评价按照《环境影响评价技术导则》中的要求进行。</w:t>
            </w:r>
          </w:p>
        </w:tc>
      </w:tr>
    </w:tbl>
    <w:p>
      <w:pPr>
        <w:pStyle w:val="16"/>
        <w:jc w:val="center"/>
        <w:rPr>
          <w:rFonts w:ascii="Times New Roman" w:hAnsi="Times New Roman" w:eastAsia="黑体" w:cs="Times New Roman"/>
          <w:snapToGrid w:val="0"/>
          <w:color w:val="auto"/>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6"/>
        <w:adjustRightInd w:val="0"/>
        <w:snapToGrid w:val="0"/>
        <w:spacing w:before="0" w:beforeAutospacing="0" w:after="0" w:afterAutospacing="0"/>
        <w:outlineLvl w:val="0"/>
        <w:rPr>
          <w:rFonts w:ascii="Times New Roman" w:hAnsi="Times New Roman" w:eastAsia="黑体" w:cs="Times New Roman"/>
          <w:snapToGrid w:val="0"/>
          <w:color w:val="auto"/>
          <w:kern w:val="21"/>
          <w:sz w:val="21"/>
          <w:szCs w:val="21"/>
        </w:rPr>
      </w:pPr>
      <w:r>
        <w:rPr>
          <w:rFonts w:ascii="Times New Roman" w:hAnsi="Times New Roman" w:eastAsia="黑体" w:cs="Times New Roman"/>
          <w:snapToGrid w:val="0"/>
          <w:color w:val="auto"/>
          <w:kern w:val="21"/>
          <w:sz w:val="32"/>
          <w:szCs w:val="32"/>
        </w:rPr>
        <w:t>附表</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t>建设项目污染物排放量汇总表</w:t>
      </w:r>
    </w:p>
    <w:tbl>
      <w:tblPr>
        <w:tblStyle w:val="24"/>
        <w:tblW w:w="1400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276"/>
        <w:gridCol w:w="1532"/>
        <w:gridCol w:w="1150"/>
        <w:gridCol w:w="1532"/>
        <w:gridCol w:w="1405"/>
        <w:gridCol w:w="1588"/>
        <w:gridCol w:w="1588"/>
        <w:gridCol w:w="1478"/>
        <w:gridCol w:w="10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30" w:type="dxa"/>
            <w:tcBorders>
              <w:tl2br w:val="single" w:color="auto" w:sz="4" w:space="0"/>
            </w:tcBorders>
            <w:tcMar>
              <w:left w:w="28" w:type="dxa"/>
              <w:right w:w="28" w:type="dxa"/>
            </w:tcMar>
            <w:vAlign w:val="center"/>
          </w:tcPr>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项目</w:t>
            </w:r>
          </w:p>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分类</w:t>
            </w:r>
          </w:p>
        </w:tc>
        <w:tc>
          <w:tcPr>
            <w:tcW w:w="1276" w:type="dxa"/>
            <w:tcMar>
              <w:left w:w="28" w:type="dxa"/>
              <w:right w:w="28" w:type="dxa"/>
            </w:tcMar>
            <w:vAlign w:val="center"/>
          </w:tcPr>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污染物名称</w:t>
            </w:r>
          </w:p>
        </w:tc>
        <w:tc>
          <w:tcPr>
            <w:tcW w:w="1532" w:type="dxa"/>
            <w:tcMar>
              <w:left w:w="28" w:type="dxa"/>
              <w:right w:w="28" w:type="dxa"/>
            </w:tcMar>
            <w:vAlign w:val="center"/>
          </w:tcPr>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现有工程</w:t>
            </w:r>
          </w:p>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排放量（固体废物产生量）</w:t>
            </w:r>
            <w:r>
              <w:rPr>
                <w:rFonts w:ascii="Times New Roman" w:hAnsi="Times New Roman" w:eastAsia="黑体"/>
                <w:snapToGrid w:val="0"/>
                <w:color w:val="auto"/>
                <w:spacing w:val="-6"/>
                <w:kern w:val="21"/>
              </w:rPr>
              <w:fldChar w:fldCharType="begin"/>
            </w:r>
            <w:r>
              <w:rPr>
                <w:rFonts w:ascii="Times New Roman" w:hAnsi="Times New Roman" w:eastAsia="黑体"/>
                <w:snapToGrid w:val="0"/>
                <w:color w:val="auto"/>
                <w:spacing w:val="-6"/>
                <w:kern w:val="21"/>
              </w:rPr>
              <w:instrText xml:space="preserve"> = 1 \* GB3 \* MERGEFORMAT </w:instrText>
            </w:r>
            <w:r>
              <w:rPr>
                <w:rFonts w:ascii="Times New Roman" w:hAnsi="Times New Roman" w:eastAsia="黑体"/>
                <w:snapToGrid w:val="0"/>
                <w:color w:val="auto"/>
                <w:spacing w:val="-6"/>
                <w:kern w:val="21"/>
              </w:rPr>
              <w:fldChar w:fldCharType="separate"/>
            </w:r>
            <w:r>
              <w:rPr>
                <w:rFonts w:hint="eastAsia" w:hAnsi="宋体" w:eastAsia="宋体" w:cs="宋体"/>
                <w:color w:val="auto"/>
              </w:rPr>
              <w:t>①</w:t>
            </w:r>
            <w:r>
              <w:rPr>
                <w:rFonts w:ascii="Times New Roman" w:hAnsi="Times New Roman" w:eastAsia="黑体"/>
                <w:snapToGrid w:val="0"/>
                <w:color w:val="auto"/>
                <w:spacing w:val="-6"/>
                <w:kern w:val="21"/>
              </w:rPr>
              <w:fldChar w:fldCharType="end"/>
            </w:r>
          </w:p>
        </w:tc>
        <w:tc>
          <w:tcPr>
            <w:tcW w:w="1150" w:type="dxa"/>
            <w:tcMar>
              <w:left w:w="28" w:type="dxa"/>
              <w:right w:w="28" w:type="dxa"/>
            </w:tcMar>
            <w:vAlign w:val="center"/>
          </w:tcPr>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现有工程</w:t>
            </w:r>
          </w:p>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许可排放量</w:t>
            </w:r>
          </w:p>
          <w:p>
            <w:pPr>
              <w:pStyle w:val="35"/>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fldChar w:fldCharType="begin"/>
            </w:r>
            <w:r>
              <w:rPr>
                <w:rFonts w:ascii="Times New Roman" w:hAnsi="Times New Roman" w:eastAsia="黑体"/>
                <w:snapToGrid w:val="0"/>
                <w:color w:val="auto"/>
                <w:spacing w:val="-6"/>
                <w:kern w:val="21"/>
              </w:rPr>
              <w:instrText xml:space="preserve"> = 2 \* GB3 \* MERGEFORMAT </w:instrText>
            </w:r>
            <w:r>
              <w:rPr>
                <w:rFonts w:ascii="Times New Roman" w:hAnsi="Times New Roman" w:eastAsia="黑体"/>
                <w:snapToGrid w:val="0"/>
                <w:color w:val="auto"/>
                <w:spacing w:val="-6"/>
                <w:kern w:val="21"/>
              </w:rPr>
              <w:fldChar w:fldCharType="separate"/>
            </w:r>
            <w:r>
              <w:rPr>
                <w:rFonts w:hint="eastAsia" w:hAnsi="宋体" w:eastAsia="宋体" w:cs="宋体"/>
                <w:snapToGrid w:val="0"/>
                <w:color w:val="auto"/>
                <w:spacing w:val="-6"/>
                <w:kern w:val="21"/>
              </w:rPr>
              <w:t>②</w:t>
            </w:r>
            <w:r>
              <w:rPr>
                <w:rFonts w:ascii="Times New Roman" w:hAnsi="Times New Roman" w:eastAsia="黑体"/>
                <w:snapToGrid w:val="0"/>
                <w:color w:val="auto"/>
                <w:spacing w:val="-6"/>
                <w:kern w:val="21"/>
              </w:rPr>
              <w:fldChar w:fldCharType="end"/>
            </w:r>
          </w:p>
        </w:tc>
        <w:tc>
          <w:tcPr>
            <w:tcW w:w="1532" w:type="dxa"/>
            <w:tcMar>
              <w:left w:w="28" w:type="dxa"/>
              <w:right w:w="28" w:type="dxa"/>
            </w:tcMar>
            <w:vAlign w:val="center"/>
          </w:tcPr>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在建工程</w:t>
            </w:r>
          </w:p>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排放量（固体废物产生量）</w:t>
            </w:r>
            <w:r>
              <w:rPr>
                <w:rFonts w:ascii="Times New Roman" w:hAnsi="Times New Roman" w:eastAsia="黑体"/>
                <w:snapToGrid w:val="0"/>
                <w:color w:val="auto"/>
                <w:spacing w:val="-6"/>
                <w:kern w:val="21"/>
              </w:rPr>
              <w:fldChar w:fldCharType="begin"/>
            </w:r>
            <w:r>
              <w:rPr>
                <w:rFonts w:ascii="Times New Roman" w:hAnsi="Times New Roman" w:eastAsia="黑体"/>
                <w:snapToGrid w:val="0"/>
                <w:color w:val="auto"/>
                <w:spacing w:val="-6"/>
                <w:kern w:val="21"/>
              </w:rPr>
              <w:instrText xml:space="preserve"> = 3 \* GB3 \* MERGEFORMAT </w:instrText>
            </w:r>
            <w:r>
              <w:rPr>
                <w:rFonts w:ascii="Times New Roman" w:hAnsi="Times New Roman" w:eastAsia="黑体"/>
                <w:snapToGrid w:val="0"/>
                <w:color w:val="auto"/>
                <w:spacing w:val="-6"/>
                <w:kern w:val="21"/>
              </w:rPr>
              <w:fldChar w:fldCharType="separate"/>
            </w:r>
            <w:r>
              <w:rPr>
                <w:rFonts w:hint="eastAsia" w:hAnsi="宋体" w:eastAsia="宋体" w:cs="宋体"/>
                <w:color w:val="auto"/>
              </w:rPr>
              <w:t>③</w:t>
            </w:r>
            <w:r>
              <w:rPr>
                <w:rFonts w:ascii="Times New Roman" w:hAnsi="Times New Roman" w:eastAsia="黑体"/>
                <w:snapToGrid w:val="0"/>
                <w:color w:val="auto"/>
                <w:spacing w:val="-6"/>
                <w:kern w:val="21"/>
              </w:rPr>
              <w:fldChar w:fldCharType="end"/>
            </w:r>
          </w:p>
        </w:tc>
        <w:tc>
          <w:tcPr>
            <w:tcW w:w="1405" w:type="dxa"/>
            <w:tcMar>
              <w:left w:w="28" w:type="dxa"/>
              <w:right w:w="28" w:type="dxa"/>
            </w:tcMar>
            <w:vAlign w:val="center"/>
          </w:tcPr>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本项目</w:t>
            </w:r>
          </w:p>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排放量（固体废物产生量）</w:t>
            </w:r>
            <w:r>
              <w:rPr>
                <w:rFonts w:ascii="Times New Roman" w:hAnsi="Times New Roman" w:eastAsia="黑体"/>
                <w:snapToGrid w:val="0"/>
                <w:color w:val="auto"/>
                <w:spacing w:val="-6"/>
                <w:kern w:val="21"/>
              </w:rPr>
              <w:fldChar w:fldCharType="begin"/>
            </w:r>
            <w:r>
              <w:rPr>
                <w:rFonts w:ascii="Times New Roman" w:hAnsi="Times New Roman" w:eastAsia="黑体"/>
                <w:snapToGrid w:val="0"/>
                <w:color w:val="auto"/>
                <w:spacing w:val="-6"/>
                <w:kern w:val="21"/>
              </w:rPr>
              <w:instrText xml:space="preserve"> = 4 \* GB3 \* MERGEFORMAT </w:instrText>
            </w:r>
            <w:r>
              <w:rPr>
                <w:rFonts w:ascii="Times New Roman" w:hAnsi="Times New Roman" w:eastAsia="黑体"/>
                <w:snapToGrid w:val="0"/>
                <w:color w:val="auto"/>
                <w:spacing w:val="-6"/>
                <w:kern w:val="21"/>
              </w:rPr>
              <w:fldChar w:fldCharType="separate"/>
            </w:r>
            <w:r>
              <w:rPr>
                <w:rFonts w:hint="eastAsia" w:hAnsi="宋体" w:eastAsia="宋体" w:cs="宋体"/>
                <w:color w:val="auto"/>
              </w:rPr>
              <w:t>④</w:t>
            </w:r>
            <w:r>
              <w:rPr>
                <w:rFonts w:ascii="Times New Roman" w:hAnsi="Times New Roman" w:eastAsia="黑体"/>
                <w:snapToGrid w:val="0"/>
                <w:color w:val="auto"/>
                <w:spacing w:val="-6"/>
                <w:kern w:val="21"/>
              </w:rPr>
              <w:fldChar w:fldCharType="end"/>
            </w:r>
          </w:p>
        </w:tc>
        <w:tc>
          <w:tcPr>
            <w:tcW w:w="1588" w:type="dxa"/>
            <w:tcMar>
              <w:left w:w="28" w:type="dxa"/>
              <w:right w:w="28" w:type="dxa"/>
            </w:tcMar>
            <w:vAlign w:val="center"/>
          </w:tcPr>
          <w:p>
            <w:pPr>
              <w:pStyle w:val="35"/>
              <w:spacing w:line="240" w:lineRule="auto"/>
              <w:rPr>
                <w:rFonts w:ascii="Times New Roman" w:hAnsi="Times New Roman" w:eastAsia="黑体"/>
                <w:snapToGrid w:val="0"/>
                <w:color w:val="auto"/>
                <w:spacing w:val="-16"/>
                <w:kern w:val="21"/>
              </w:rPr>
            </w:pPr>
          </w:p>
        </w:tc>
        <w:tc>
          <w:tcPr>
            <w:tcW w:w="1588" w:type="dxa"/>
            <w:tcMar>
              <w:left w:w="28" w:type="dxa"/>
              <w:right w:w="28" w:type="dxa"/>
            </w:tcMar>
            <w:vAlign w:val="center"/>
          </w:tcPr>
          <w:p>
            <w:pPr>
              <w:pStyle w:val="35"/>
              <w:spacing w:line="240" w:lineRule="auto"/>
              <w:rPr>
                <w:rFonts w:ascii="Times New Roman" w:hAnsi="Times New Roman" w:eastAsia="黑体"/>
                <w:snapToGrid w:val="0"/>
                <w:color w:val="auto"/>
                <w:spacing w:val="-16"/>
                <w:kern w:val="21"/>
              </w:rPr>
            </w:pPr>
            <w:r>
              <w:rPr>
                <w:rFonts w:ascii="Times New Roman" w:hAnsi="Times New Roman" w:eastAsia="黑体"/>
                <w:snapToGrid w:val="0"/>
                <w:color w:val="auto"/>
                <w:spacing w:val="-16"/>
                <w:kern w:val="21"/>
              </w:rPr>
              <w:t>以新带老削减量</w:t>
            </w:r>
          </w:p>
          <w:p>
            <w:pPr>
              <w:pStyle w:val="35"/>
              <w:spacing w:line="240" w:lineRule="auto"/>
              <w:rPr>
                <w:rFonts w:ascii="Times New Roman" w:hAnsi="Times New Roman" w:eastAsia="黑体"/>
                <w:snapToGrid w:val="0"/>
                <w:color w:val="auto"/>
                <w:spacing w:val="-16"/>
                <w:kern w:val="21"/>
              </w:rPr>
            </w:pPr>
            <w:r>
              <w:rPr>
                <w:rFonts w:ascii="Times New Roman" w:hAnsi="Times New Roman" w:eastAsia="黑体"/>
                <w:snapToGrid w:val="0"/>
                <w:color w:val="auto"/>
                <w:spacing w:val="-16"/>
                <w:kern w:val="21"/>
              </w:rPr>
              <w:t>（新建项目不填）</w:t>
            </w:r>
            <w:r>
              <w:rPr>
                <w:rFonts w:ascii="Times New Roman" w:hAnsi="Times New Roman" w:eastAsia="黑体"/>
                <w:snapToGrid w:val="0"/>
                <w:color w:val="auto"/>
                <w:spacing w:val="-16"/>
                <w:kern w:val="21"/>
              </w:rPr>
              <w:fldChar w:fldCharType="begin"/>
            </w:r>
            <w:r>
              <w:rPr>
                <w:rFonts w:ascii="Times New Roman" w:hAnsi="Times New Roman" w:eastAsia="黑体"/>
                <w:snapToGrid w:val="0"/>
                <w:color w:val="auto"/>
                <w:spacing w:val="-16"/>
                <w:kern w:val="21"/>
              </w:rPr>
              <w:instrText xml:space="preserve"> = 5 \* GB3 \* MERGEFORMAT </w:instrText>
            </w:r>
            <w:r>
              <w:rPr>
                <w:rFonts w:ascii="Times New Roman" w:hAnsi="Times New Roman" w:eastAsia="黑体"/>
                <w:snapToGrid w:val="0"/>
                <w:color w:val="auto"/>
                <w:spacing w:val="-16"/>
                <w:kern w:val="21"/>
              </w:rPr>
              <w:fldChar w:fldCharType="separate"/>
            </w:r>
            <w:r>
              <w:rPr>
                <w:rFonts w:hint="eastAsia" w:hAnsi="宋体" w:eastAsia="宋体" w:cs="宋体"/>
                <w:color w:val="auto"/>
              </w:rPr>
              <w:t>⑤</w:t>
            </w:r>
            <w:r>
              <w:rPr>
                <w:rFonts w:ascii="Times New Roman" w:hAnsi="Times New Roman" w:eastAsia="黑体"/>
                <w:snapToGrid w:val="0"/>
                <w:color w:val="auto"/>
                <w:spacing w:val="-16"/>
                <w:kern w:val="21"/>
              </w:rPr>
              <w:fldChar w:fldCharType="end"/>
            </w:r>
          </w:p>
        </w:tc>
        <w:tc>
          <w:tcPr>
            <w:tcW w:w="1478" w:type="dxa"/>
            <w:tcMar>
              <w:left w:w="28" w:type="dxa"/>
              <w:right w:w="28" w:type="dxa"/>
            </w:tcMar>
            <w:vAlign w:val="center"/>
          </w:tcPr>
          <w:p>
            <w:pPr>
              <w:pStyle w:val="35"/>
              <w:spacing w:line="240" w:lineRule="auto"/>
              <w:rPr>
                <w:rFonts w:ascii="Times New Roman" w:hAnsi="Times New Roman" w:eastAsia="黑体"/>
                <w:snapToGrid w:val="0"/>
                <w:color w:val="auto"/>
                <w:spacing w:val="-16"/>
                <w:kern w:val="21"/>
              </w:rPr>
            </w:pPr>
            <w:r>
              <w:rPr>
                <w:rFonts w:ascii="Times New Roman" w:hAnsi="Times New Roman" w:eastAsia="黑体"/>
                <w:snapToGrid w:val="0"/>
                <w:color w:val="auto"/>
                <w:spacing w:val="-16"/>
                <w:kern w:val="21"/>
              </w:rPr>
              <w:t>本项目建成后</w:t>
            </w:r>
          </w:p>
          <w:p>
            <w:pPr>
              <w:pStyle w:val="35"/>
              <w:spacing w:line="240" w:lineRule="auto"/>
              <w:rPr>
                <w:rFonts w:ascii="Times New Roman" w:hAnsi="Times New Roman" w:eastAsia="黑体"/>
                <w:snapToGrid w:val="0"/>
                <w:color w:val="auto"/>
                <w:spacing w:val="-16"/>
                <w:kern w:val="21"/>
              </w:rPr>
            </w:pPr>
            <w:r>
              <w:rPr>
                <w:rFonts w:ascii="Times New Roman" w:hAnsi="Times New Roman" w:eastAsia="黑体"/>
                <w:snapToGrid w:val="0"/>
                <w:color w:val="auto"/>
                <w:spacing w:val="-16"/>
                <w:kern w:val="21"/>
              </w:rPr>
              <w:t>全厂排放量（固体废物产生量）</w:t>
            </w:r>
            <w:r>
              <w:rPr>
                <w:rFonts w:ascii="Times New Roman" w:hAnsi="Times New Roman" w:eastAsia="黑体"/>
                <w:snapToGrid w:val="0"/>
                <w:color w:val="auto"/>
                <w:spacing w:val="-16"/>
                <w:kern w:val="21"/>
              </w:rPr>
              <w:fldChar w:fldCharType="begin"/>
            </w:r>
            <w:r>
              <w:rPr>
                <w:rFonts w:ascii="Times New Roman" w:hAnsi="Times New Roman" w:eastAsia="黑体"/>
                <w:snapToGrid w:val="0"/>
                <w:color w:val="auto"/>
                <w:spacing w:val="-16"/>
                <w:kern w:val="21"/>
              </w:rPr>
              <w:instrText xml:space="preserve"> = 6 \* GB3 \* MERGEFORMAT </w:instrText>
            </w:r>
            <w:r>
              <w:rPr>
                <w:rFonts w:ascii="Times New Roman" w:hAnsi="Times New Roman" w:eastAsia="黑体"/>
                <w:snapToGrid w:val="0"/>
                <w:color w:val="auto"/>
                <w:spacing w:val="-16"/>
                <w:kern w:val="21"/>
              </w:rPr>
              <w:fldChar w:fldCharType="separate"/>
            </w:r>
            <w:r>
              <w:rPr>
                <w:rFonts w:hint="eastAsia" w:hAnsi="宋体" w:eastAsia="宋体" w:cs="宋体"/>
                <w:color w:val="auto"/>
              </w:rPr>
              <w:t>⑥</w:t>
            </w:r>
            <w:r>
              <w:rPr>
                <w:rFonts w:ascii="Times New Roman" w:hAnsi="Times New Roman" w:eastAsia="黑体"/>
                <w:snapToGrid w:val="0"/>
                <w:color w:val="auto"/>
                <w:spacing w:val="-16"/>
                <w:kern w:val="21"/>
              </w:rPr>
              <w:fldChar w:fldCharType="end"/>
            </w:r>
          </w:p>
        </w:tc>
        <w:tc>
          <w:tcPr>
            <w:tcW w:w="1029" w:type="dxa"/>
            <w:tcMar>
              <w:left w:w="28" w:type="dxa"/>
              <w:right w:w="28" w:type="dxa"/>
            </w:tcMar>
            <w:vAlign w:val="center"/>
          </w:tcPr>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t>变化量</w:t>
            </w:r>
          </w:p>
          <w:p>
            <w:pPr>
              <w:pStyle w:val="35"/>
              <w:spacing w:line="240" w:lineRule="auto"/>
              <w:rPr>
                <w:rFonts w:ascii="Times New Roman" w:hAnsi="Times New Roman" w:eastAsia="黑体"/>
                <w:snapToGrid w:val="0"/>
                <w:color w:val="auto"/>
                <w:spacing w:val="-6"/>
                <w:kern w:val="21"/>
              </w:rPr>
            </w:pPr>
            <w:r>
              <w:rPr>
                <w:rFonts w:ascii="Times New Roman" w:hAnsi="Times New Roman" w:eastAsia="黑体"/>
                <w:snapToGrid w:val="0"/>
                <w:color w:val="auto"/>
                <w:spacing w:val="-6"/>
                <w:kern w:val="21"/>
              </w:rPr>
              <w:fldChar w:fldCharType="begin"/>
            </w:r>
            <w:r>
              <w:rPr>
                <w:rFonts w:ascii="Times New Roman" w:hAnsi="Times New Roman" w:eastAsia="黑体"/>
                <w:snapToGrid w:val="0"/>
                <w:color w:val="auto"/>
                <w:spacing w:val="-6"/>
                <w:kern w:val="21"/>
              </w:rPr>
              <w:instrText xml:space="preserve"> = 7 \* GB3 \* MERGEFORMAT </w:instrText>
            </w:r>
            <w:r>
              <w:rPr>
                <w:rFonts w:ascii="Times New Roman" w:hAnsi="Times New Roman" w:eastAsia="黑体"/>
                <w:snapToGrid w:val="0"/>
                <w:color w:val="auto"/>
                <w:spacing w:val="-6"/>
                <w:kern w:val="21"/>
              </w:rPr>
              <w:fldChar w:fldCharType="separate"/>
            </w:r>
            <w:r>
              <w:rPr>
                <w:rFonts w:hint="eastAsia" w:hAnsi="宋体" w:eastAsia="宋体" w:cs="宋体"/>
                <w:color w:val="auto"/>
              </w:rPr>
              <w:t>⑦</w:t>
            </w:r>
            <w:r>
              <w:rPr>
                <w:rFonts w:ascii="Times New Roman" w:hAnsi="Times New Roman" w:eastAsia="黑体"/>
                <w:snapToGrid w:val="0"/>
                <w:color w:val="auto"/>
                <w:spacing w:val="-6"/>
                <w:kern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restart"/>
            <w:vAlign w:val="center"/>
          </w:tcPr>
          <w:p>
            <w:pPr>
              <w:pStyle w:val="35"/>
              <w:spacing w:line="240" w:lineRule="auto"/>
              <w:rPr>
                <w:rFonts w:ascii="Times New Roman" w:hAnsi="Times New Roman"/>
                <w:snapToGrid w:val="0"/>
                <w:color w:val="auto"/>
                <w:kern w:val="21"/>
              </w:rPr>
            </w:pPr>
            <w:r>
              <w:rPr>
                <w:rFonts w:hint="eastAsia" w:hAnsi="宋体" w:eastAsia="宋体" w:cs="宋体"/>
                <w:snapToGrid w:val="0"/>
                <w:color w:val="auto"/>
                <w:kern w:val="21"/>
              </w:rPr>
              <w:t>废气</w:t>
            </w:r>
          </w:p>
        </w:tc>
        <w:tc>
          <w:tcPr>
            <w:tcW w:w="1276" w:type="dxa"/>
            <w:vAlign w:val="center"/>
          </w:tcPr>
          <w:p>
            <w:pPr>
              <w:pStyle w:val="35"/>
              <w:spacing w:line="240" w:lineRule="auto"/>
              <w:rPr>
                <w:rFonts w:ascii="Times New Roman" w:hAnsi="Times New Roman"/>
                <w:snapToGrid w:val="0"/>
                <w:color w:val="auto"/>
                <w:kern w:val="21"/>
              </w:rPr>
            </w:pPr>
            <w:r>
              <w:rPr>
                <w:rFonts w:hint="eastAsia" w:hAnsi="宋体" w:eastAsia="宋体" w:cs="宋体"/>
                <w:snapToGrid w:val="0"/>
                <w:color w:val="auto"/>
                <w:kern w:val="21"/>
              </w:rPr>
              <w:t>氨</w:t>
            </w:r>
          </w:p>
        </w:tc>
        <w:tc>
          <w:tcPr>
            <w:tcW w:w="1532" w:type="dxa"/>
            <w:vAlign w:val="center"/>
          </w:tcPr>
          <w:p>
            <w:pPr>
              <w:pStyle w:val="35"/>
              <w:spacing w:line="240" w:lineRule="auto"/>
              <w:rPr>
                <w:rFonts w:hint="eastAsia" w:ascii="Times New Roman" w:hAnsi="Times New Roman" w:eastAsia="宋体"/>
                <w:snapToGrid w:val="0"/>
                <w:color w:val="auto"/>
                <w:kern w:val="21"/>
                <w:lang w:eastAsia="zh-CN"/>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ascii="Times New Roman" w:hAnsi="Times New Roman"/>
                <w:snapToGrid w:val="0"/>
                <w:color w:val="auto"/>
                <w:kern w:val="21"/>
              </w:rPr>
            </w:pPr>
            <w:r>
              <w:rPr>
                <w:rFonts w:hint="eastAsia" w:ascii="Times New Roman" w:hAnsi="Times New Roman"/>
                <w:snapToGrid w:val="0"/>
                <w:color w:val="auto"/>
                <w:kern w:val="21"/>
                <w:lang w:val="en-US" w:eastAsia="zh-CN"/>
              </w:rPr>
              <w:t>1.32</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hint="eastAsia" w:ascii="Times New Roman" w:hAnsi="Times New Roman"/>
                <w:snapToGrid w:val="0"/>
                <w:color w:val="auto"/>
                <w:kern w:val="21"/>
                <w:lang w:val="en-US" w:eastAsia="zh-CN"/>
              </w:rPr>
              <w:t>1.32</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continue"/>
            <w:vAlign w:val="center"/>
          </w:tcPr>
          <w:p>
            <w:pPr>
              <w:pStyle w:val="35"/>
              <w:spacing w:line="240" w:lineRule="auto"/>
              <w:rPr>
                <w:rFonts w:ascii="Times New Roman" w:hAnsi="Times New Roman"/>
                <w:snapToGrid w:val="0"/>
                <w:color w:val="auto"/>
                <w:kern w:val="21"/>
              </w:rPr>
            </w:pPr>
          </w:p>
        </w:tc>
        <w:tc>
          <w:tcPr>
            <w:tcW w:w="1276" w:type="dxa"/>
            <w:vAlign w:val="center"/>
          </w:tcPr>
          <w:p>
            <w:pPr>
              <w:pStyle w:val="35"/>
              <w:spacing w:line="240" w:lineRule="auto"/>
              <w:rPr>
                <w:rFonts w:ascii="Times New Roman" w:hAnsi="Times New Roman"/>
                <w:snapToGrid w:val="0"/>
                <w:color w:val="auto"/>
                <w:kern w:val="21"/>
              </w:rPr>
            </w:pPr>
            <w:r>
              <w:rPr>
                <w:rFonts w:hint="eastAsia" w:hAnsi="宋体" w:eastAsia="宋体" w:cs="宋体"/>
                <w:snapToGrid w:val="0"/>
                <w:color w:val="auto"/>
                <w:kern w:val="21"/>
              </w:rPr>
              <w:t>硫化氢</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ascii="Times New Roman" w:hAnsi="Times New Roman"/>
                <w:snapToGrid w:val="0"/>
                <w:color w:val="auto"/>
                <w:kern w:val="21"/>
              </w:rPr>
            </w:pPr>
            <w:r>
              <w:rPr>
                <w:rFonts w:ascii="Times New Roman" w:hAnsi="Times New Roman"/>
                <w:snapToGrid w:val="0"/>
                <w:color w:val="auto"/>
                <w:kern w:val="21"/>
              </w:rPr>
              <w:t>0.0</w:t>
            </w:r>
            <w:r>
              <w:rPr>
                <w:rFonts w:hint="eastAsia" w:ascii="Times New Roman" w:hAnsi="Times New Roman"/>
                <w:snapToGrid w:val="0"/>
                <w:color w:val="auto"/>
                <w:kern w:val="21"/>
                <w:lang w:val="en-US" w:eastAsia="zh-CN"/>
              </w:rPr>
              <w:t>5</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ascii="Times New Roman" w:hAnsi="Times New Roman"/>
                <w:snapToGrid w:val="0"/>
                <w:color w:val="auto"/>
                <w:kern w:val="21"/>
              </w:rPr>
              <w:t>0.0</w:t>
            </w:r>
            <w:r>
              <w:rPr>
                <w:rFonts w:hint="eastAsia" w:ascii="Times New Roman" w:hAnsi="Times New Roman"/>
                <w:snapToGrid w:val="0"/>
                <w:color w:val="auto"/>
                <w:kern w:val="21"/>
                <w:lang w:val="en-US" w:eastAsia="zh-CN"/>
              </w:rPr>
              <w:t>5</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restart"/>
            <w:vAlign w:val="center"/>
          </w:tcPr>
          <w:p>
            <w:pPr>
              <w:pStyle w:val="35"/>
              <w:spacing w:line="240" w:lineRule="auto"/>
              <w:rPr>
                <w:rFonts w:ascii="Times New Roman" w:hAnsi="Times New Roman"/>
                <w:snapToGrid w:val="0"/>
                <w:color w:val="auto"/>
                <w:kern w:val="21"/>
              </w:rPr>
            </w:pPr>
            <w:r>
              <w:rPr>
                <w:rFonts w:hint="eastAsia" w:hAnsi="宋体" w:eastAsia="宋体" w:cs="宋体"/>
                <w:snapToGrid w:val="0"/>
                <w:color w:val="auto"/>
                <w:kern w:val="21"/>
              </w:rPr>
              <w:t>废水</w:t>
            </w:r>
          </w:p>
        </w:tc>
        <w:tc>
          <w:tcPr>
            <w:tcW w:w="1276" w:type="dxa"/>
            <w:vAlign w:val="center"/>
          </w:tcPr>
          <w:p>
            <w:pPr>
              <w:pStyle w:val="35"/>
              <w:spacing w:line="240" w:lineRule="auto"/>
              <w:rPr>
                <w:rFonts w:ascii="Times New Roman" w:hAnsi="Times New Roman"/>
                <w:snapToGrid w:val="0"/>
                <w:color w:val="auto"/>
                <w:kern w:val="21"/>
              </w:rPr>
            </w:pPr>
            <w:r>
              <w:rPr>
                <w:rFonts w:ascii="Times New Roman" w:hAnsi="Times New Roman"/>
                <w:color w:val="auto"/>
                <w:position w:val="2"/>
              </w:rPr>
              <w:t>COD</w:t>
            </w:r>
            <w:r>
              <w:rPr>
                <w:rFonts w:ascii="Times New Roman" w:hAnsi="Times New Roman"/>
                <w:color w:val="auto"/>
                <w:position w:val="2"/>
                <w:vertAlign w:val="subscript"/>
              </w:rPr>
              <w:t>Cr</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hint="default" w:ascii="Times New Roman" w:hAnsi="Times New Roman" w:eastAsia="宋体"/>
                <w:snapToGrid w:val="0"/>
                <w:color w:val="auto"/>
                <w:kern w:val="21"/>
                <w:lang w:val="en-US" w:eastAsia="zh-CN"/>
              </w:rPr>
            </w:pPr>
            <w:r>
              <w:rPr>
                <w:rFonts w:hint="eastAsia" w:ascii="Times New Roman" w:hAnsi="Times New Roman" w:eastAsia="宋体"/>
                <w:snapToGrid w:val="0"/>
                <w:color w:val="auto"/>
                <w:kern w:val="21"/>
                <w:lang w:val="en-US" w:eastAsia="zh-CN"/>
              </w:rPr>
              <w:t>438</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hint="eastAsia" w:ascii="Times New Roman" w:hAnsi="Times New Roman" w:eastAsia="宋体"/>
                <w:snapToGrid w:val="0"/>
                <w:color w:val="auto"/>
                <w:kern w:val="21"/>
                <w:lang w:val="en-US" w:eastAsia="zh-CN"/>
              </w:rPr>
              <w:t>438</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continue"/>
            <w:vAlign w:val="center"/>
          </w:tcPr>
          <w:p>
            <w:pPr>
              <w:pStyle w:val="35"/>
              <w:spacing w:line="240" w:lineRule="auto"/>
              <w:rPr>
                <w:rFonts w:ascii="Times New Roman" w:hAnsi="Times New Roman"/>
                <w:snapToGrid w:val="0"/>
                <w:color w:val="auto"/>
                <w:kern w:val="21"/>
              </w:rPr>
            </w:pPr>
          </w:p>
        </w:tc>
        <w:tc>
          <w:tcPr>
            <w:tcW w:w="1276" w:type="dxa"/>
            <w:vAlign w:val="center"/>
          </w:tcPr>
          <w:p>
            <w:pPr>
              <w:pStyle w:val="35"/>
              <w:spacing w:line="240" w:lineRule="auto"/>
              <w:rPr>
                <w:rFonts w:ascii="Times New Roman" w:hAnsi="Times New Roman"/>
                <w:snapToGrid w:val="0"/>
                <w:color w:val="auto"/>
                <w:kern w:val="21"/>
              </w:rPr>
            </w:pPr>
            <w:r>
              <w:rPr>
                <w:rFonts w:hint="eastAsia" w:hAnsi="宋体" w:eastAsia="宋体" w:cs="宋体"/>
                <w:color w:val="auto"/>
              </w:rPr>
              <w:t>总氮</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ascii="Times New Roman" w:hAnsi="Times New Roman"/>
                <w:snapToGrid w:val="0"/>
                <w:color w:val="auto"/>
                <w:kern w:val="21"/>
              </w:rPr>
            </w:pPr>
            <w:r>
              <w:rPr>
                <w:rFonts w:hint="eastAsia" w:ascii="Times New Roman" w:hAnsi="Times New Roman" w:eastAsia="等线" w:cs="Times New Roman"/>
                <w:color w:val="auto"/>
                <w:szCs w:val="21"/>
                <w:lang w:val="en-US" w:eastAsia="zh-CN"/>
              </w:rPr>
              <w:t>164.25</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hint="eastAsia" w:ascii="Times New Roman" w:hAnsi="Times New Roman" w:eastAsia="等线" w:cs="Times New Roman"/>
                <w:color w:val="auto"/>
                <w:szCs w:val="21"/>
                <w:lang w:val="en-US" w:eastAsia="zh-CN"/>
              </w:rPr>
              <w:t>164.25</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continue"/>
            <w:vAlign w:val="center"/>
          </w:tcPr>
          <w:p>
            <w:pPr>
              <w:pStyle w:val="35"/>
              <w:spacing w:line="240" w:lineRule="auto"/>
              <w:rPr>
                <w:rFonts w:ascii="Times New Roman" w:hAnsi="Times New Roman"/>
                <w:snapToGrid w:val="0"/>
                <w:color w:val="auto"/>
                <w:kern w:val="21"/>
              </w:rPr>
            </w:pPr>
          </w:p>
        </w:tc>
        <w:tc>
          <w:tcPr>
            <w:tcW w:w="1276" w:type="dxa"/>
            <w:vAlign w:val="center"/>
          </w:tcPr>
          <w:p>
            <w:pPr>
              <w:pStyle w:val="35"/>
              <w:spacing w:line="240" w:lineRule="auto"/>
              <w:rPr>
                <w:rFonts w:ascii="Times New Roman" w:hAnsi="Times New Roman"/>
                <w:snapToGrid w:val="0"/>
                <w:color w:val="auto"/>
                <w:kern w:val="21"/>
              </w:rPr>
            </w:pPr>
            <w:r>
              <w:rPr>
                <w:rFonts w:hint="eastAsia" w:hAnsi="宋体" w:eastAsia="宋体" w:cs="宋体"/>
                <w:color w:val="auto"/>
              </w:rPr>
              <w:t>氨氮</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hint="default" w:ascii="Times New Roman" w:hAnsi="Times New Roman" w:eastAsia="宋体"/>
                <w:snapToGrid w:val="0"/>
                <w:color w:val="auto"/>
                <w:kern w:val="21"/>
                <w:lang w:val="en-US" w:eastAsia="zh-CN"/>
              </w:rPr>
            </w:pPr>
            <w:r>
              <w:rPr>
                <w:rFonts w:hint="eastAsia" w:ascii="Times New Roman" w:hAnsi="Times New Roman" w:eastAsia="宋体"/>
                <w:snapToGrid w:val="0"/>
                <w:color w:val="auto"/>
                <w:kern w:val="21"/>
                <w:lang w:val="en-US" w:eastAsia="zh-CN"/>
              </w:rPr>
              <w:t>21.9</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hint="eastAsia" w:ascii="Times New Roman" w:hAnsi="Times New Roman" w:eastAsia="宋体"/>
                <w:snapToGrid w:val="0"/>
                <w:color w:val="auto"/>
                <w:kern w:val="21"/>
                <w:lang w:val="en-US" w:eastAsia="zh-CN"/>
              </w:rPr>
              <w:t>21.9</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continue"/>
            <w:vAlign w:val="center"/>
          </w:tcPr>
          <w:p>
            <w:pPr>
              <w:pStyle w:val="35"/>
              <w:spacing w:line="240" w:lineRule="auto"/>
              <w:rPr>
                <w:rFonts w:ascii="Times New Roman" w:hAnsi="Times New Roman"/>
                <w:snapToGrid w:val="0"/>
                <w:color w:val="auto"/>
                <w:kern w:val="21"/>
              </w:rPr>
            </w:pPr>
          </w:p>
        </w:tc>
        <w:tc>
          <w:tcPr>
            <w:tcW w:w="1276" w:type="dxa"/>
            <w:vAlign w:val="center"/>
          </w:tcPr>
          <w:p>
            <w:pPr>
              <w:pStyle w:val="35"/>
              <w:spacing w:line="240" w:lineRule="auto"/>
              <w:rPr>
                <w:rFonts w:ascii="Times New Roman" w:hAnsi="Times New Roman"/>
                <w:color w:val="auto"/>
              </w:rPr>
            </w:pPr>
            <w:r>
              <w:rPr>
                <w:rFonts w:hint="eastAsia" w:hAnsi="宋体" w:eastAsia="宋体" w:cs="宋体"/>
                <w:color w:val="auto"/>
              </w:rPr>
              <w:t>总磷</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hint="default" w:ascii="Times New Roman" w:hAnsi="Times New Roman" w:eastAsia="宋体"/>
                <w:snapToGrid w:val="0"/>
                <w:color w:val="auto"/>
                <w:kern w:val="21"/>
                <w:lang w:val="en-US" w:eastAsia="zh-CN"/>
              </w:rPr>
            </w:pPr>
            <w:r>
              <w:rPr>
                <w:rFonts w:hint="eastAsia" w:ascii="Times New Roman" w:hAnsi="Times New Roman" w:eastAsia="宋体"/>
                <w:snapToGrid w:val="0"/>
                <w:color w:val="auto"/>
                <w:kern w:val="21"/>
                <w:lang w:val="en-US" w:eastAsia="zh-CN"/>
              </w:rPr>
              <w:t>4.38</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hint="eastAsia" w:ascii="Times New Roman" w:hAnsi="Times New Roman" w:eastAsia="宋体"/>
                <w:snapToGrid w:val="0"/>
                <w:color w:val="auto"/>
                <w:kern w:val="21"/>
                <w:lang w:val="en-US" w:eastAsia="zh-CN"/>
              </w:rPr>
              <w:t>4.38</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restart"/>
            <w:vAlign w:val="center"/>
          </w:tcPr>
          <w:p>
            <w:pPr>
              <w:pStyle w:val="35"/>
              <w:spacing w:line="240" w:lineRule="auto"/>
              <w:rPr>
                <w:rFonts w:ascii="Times New Roman" w:hAnsi="Times New Roman"/>
                <w:snapToGrid w:val="0"/>
                <w:color w:val="auto"/>
                <w:kern w:val="21"/>
              </w:rPr>
            </w:pPr>
            <w:r>
              <w:rPr>
                <w:rFonts w:hint="eastAsia" w:hAnsi="宋体" w:eastAsia="宋体" w:cs="宋体"/>
                <w:snapToGrid w:val="0"/>
                <w:color w:val="auto"/>
                <w:kern w:val="21"/>
              </w:rPr>
              <w:t>一般工业</w:t>
            </w:r>
          </w:p>
          <w:p>
            <w:pPr>
              <w:pStyle w:val="35"/>
              <w:spacing w:line="240" w:lineRule="auto"/>
              <w:rPr>
                <w:rFonts w:ascii="Times New Roman" w:hAnsi="Times New Roman"/>
                <w:snapToGrid w:val="0"/>
                <w:color w:val="auto"/>
                <w:kern w:val="21"/>
              </w:rPr>
            </w:pPr>
            <w:r>
              <w:rPr>
                <w:rFonts w:hint="eastAsia" w:hAnsi="宋体" w:eastAsia="宋体" w:cs="宋体"/>
                <w:snapToGrid w:val="0"/>
                <w:color w:val="auto"/>
                <w:kern w:val="21"/>
              </w:rPr>
              <w:t>固体废物</w:t>
            </w:r>
          </w:p>
        </w:tc>
        <w:tc>
          <w:tcPr>
            <w:tcW w:w="1276" w:type="dxa"/>
            <w:vAlign w:val="center"/>
          </w:tcPr>
          <w:p>
            <w:pPr>
              <w:pStyle w:val="35"/>
              <w:spacing w:line="240" w:lineRule="auto"/>
              <w:rPr>
                <w:rFonts w:ascii="Times New Roman" w:hAnsi="Times New Roman"/>
                <w:snapToGrid w:val="0"/>
                <w:color w:val="auto"/>
                <w:kern w:val="21"/>
              </w:rPr>
            </w:pPr>
            <w:r>
              <w:rPr>
                <w:rFonts w:ascii="Times New Roman" w:hAnsi="Times New Roman" w:eastAsia="宋体"/>
                <w:color w:val="auto"/>
              </w:rPr>
              <w:t>栅渣</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ascii="Times New Roman" w:hAnsi="Times New Roman"/>
                <w:snapToGrid w:val="0"/>
                <w:color w:val="auto"/>
                <w:kern w:val="21"/>
              </w:rPr>
            </w:pPr>
            <w:r>
              <w:rPr>
                <w:rFonts w:hint="eastAsia" w:ascii="Times New Roman" w:hAnsi="Times New Roman"/>
                <w:snapToGrid w:val="0"/>
                <w:color w:val="auto"/>
                <w:kern w:val="21"/>
                <w:lang w:val="en-US" w:eastAsia="zh-CN"/>
              </w:rPr>
              <w:t>273.75</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hint="eastAsia" w:ascii="Times New Roman" w:hAnsi="Times New Roman"/>
                <w:snapToGrid w:val="0"/>
                <w:color w:val="auto"/>
                <w:kern w:val="21"/>
                <w:lang w:val="en-US" w:eastAsia="zh-CN"/>
              </w:rPr>
              <w:t>273.75</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continue"/>
            <w:vAlign w:val="center"/>
          </w:tcPr>
          <w:p>
            <w:pPr>
              <w:pStyle w:val="35"/>
              <w:spacing w:line="240" w:lineRule="auto"/>
              <w:rPr>
                <w:rFonts w:ascii="Times New Roman" w:hAnsi="Times New Roman"/>
                <w:snapToGrid w:val="0"/>
                <w:color w:val="auto"/>
                <w:kern w:val="21"/>
              </w:rPr>
            </w:pPr>
          </w:p>
        </w:tc>
        <w:tc>
          <w:tcPr>
            <w:tcW w:w="1276" w:type="dxa"/>
            <w:vAlign w:val="center"/>
          </w:tcPr>
          <w:p>
            <w:pPr>
              <w:pStyle w:val="35"/>
              <w:spacing w:line="240" w:lineRule="auto"/>
              <w:rPr>
                <w:rFonts w:ascii="Times New Roman" w:hAnsi="Times New Roman"/>
                <w:snapToGrid w:val="0"/>
                <w:color w:val="auto"/>
                <w:kern w:val="21"/>
              </w:rPr>
            </w:pPr>
            <w:r>
              <w:rPr>
                <w:rFonts w:ascii="Times New Roman" w:hAnsi="Times New Roman" w:eastAsia="宋体"/>
                <w:color w:val="auto"/>
              </w:rPr>
              <w:t>污泥</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ascii="Times New Roman" w:hAnsi="Times New Roman"/>
                <w:snapToGrid w:val="0"/>
                <w:color w:val="auto"/>
                <w:kern w:val="21"/>
              </w:rPr>
            </w:pPr>
            <w:r>
              <w:rPr>
                <w:rFonts w:hint="eastAsia" w:ascii="Times New Roman" w:hAnsi="Times New Roman" w:eastAsia="宋体" w:cs="Times New Roman"/>
                <w:color w:val="auto"/>
                <w:kern w:val="0"/>
                <w:sz w:val="24"/>
                <w:szCs w:val="24"/>
                <w:lang w:val="en-US" w:eastAsia="zh-CN"/>
              </w:rPr>
              <w:t>2737.5</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hint="eastAsia" w:ascii="Times New Roman" w:hAnsi="Times New Roman" w:eastAsia="宋体" w:cs="Times New Roman"/>
                <w:color w:val="auto"/>
                <w:kern w:val="0"/>
                <w:sz w:val="24"/>
                <w:szCs w:val="24"/>
                <w:lang w:val="en-US" w:eastAsia="zh-CN"/>
              </w:rPr>
              <w:t>2737.5</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continue"/>
            <w:vAlign w:val="center"/>
          </w:tcPr>
          <w:p>
            <w:pPr>
              <w:pStyle w:val="35"/>
              <w:spacing w:line="240" w:lineRule="auto"/>
              <w:rPr>
                <w:rFonts w:ascii="Times New Roman" w:hAnsi="Times New Roman"/>
                <w:snapToGrid w:val="0"/>
                <w:color w:val="auto"/>
                <w:kern w:val="21"/>
              </w:rPr>
            </w:pPr>
          </w:p>
        </w:tc>
        <w:tc>
          <w:tcPr>
            <w:tcW w:w="1276" w:type="dxa"/>
            <w:vAlign w:val="center"/>
          </w:tcPr>
          <w:p>
            <w:pPr>
              <w:pStyle w:val="35"/>
              <w:spacing w:line="240" w:lineRule="auto"/>
              <w:rPr>
                <w:rFonts w:ascii="Times New Roman" w:hAnsi="Times New Roman"/>
                <w:snapToGrid w:val="0"/>
                <w:color w:val="auto"/>
                <w:kern w:val="21"/>
              </w:rPr>
            </w:pPr>
            <w:r>
              <w:rPr>
                <w:rFonts w:ascii="Times New Roman" w:hAnsi="Times New Roman" w:eastAsia="宋体"/>
                <w:color w:val="auto"/>
              </w:rPr>
              <w:t>生活垃圾</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hint="default" w:ascii="Times New Roman" w:hAnsi="Times New Roman" w:eastAsia="宋体"/>
                <w:snapToGrid w:val="0"/>
                <w:color w:val="auto"/>
                <w:kern w:val="21"/>
                <w:lang w:val="en-US" w:eastAsia="zh-CN"/>
              </w:rPr>
            </w:pPr>
            <w:r>
              <w:rPr>
                <w:rFonts w:hint="eastAsia" w:ascii="Times New Roman" w:hAnsi="Times New Roman" w:eastAsia="宋体"/>
                <w:snapToGrid w:val="0"/>
                <w:color w:val="auto"/>
                <w:kern w:val="21"/>
                <w:lang w:val="en-US" w:eastAsia="zh-CN"/>
              </w:rPr>
              <w:t>5.475</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hint="eastAsia" w:ascii="Times New Roman" w:hAnsi="Times New Roman" w:eastAsia="宋体"/>
                <w:snapToGrid w:val="0"/>
                <w:color w:val="auto"/>
                <w:kern w:val="21"/>
                <w:lang w:val="en-US" w:eastAsia="zh-CN"/>
              </w:rPr>
              <w:t>5.475</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continue"/>
            <w:vAlign w:val="center"/>
          </w:tcPr>
          <w:p>
            <w:pPr>
              <w:pStyle w:val="35"/>
              <w:spacing w:line="240" w:lineRule="auto"/>
              <w:rPr>
                <w:rFonts w:ascii="Times New Roman" w:hAnsi="Times New Roman"/>
                <w:snapToGrid w:val="0"/>
                <w:color w:val="auto"/>
                <w:kern w:val="21"/>
              </w:rPr>
            </w:pPr>
          </w:p>
        </w:tc>
        <w:tc>
          <w:tcPr>
            <w:tcW w:w="1276" w:type="dxa"/>
            <w:vAlign w:val="center"/>
          </w:tcPr>
          <w:p>
            <w:pPr>
              <w:pStyle w:val="35"/>
              <w:spacing w:line="240" w:lineRule="auto"/>
              <w:rPr>
                <w:rFonts w:ascii="Times New Roman" w:hAnsi="Times New Roman"/>
                <w:color w:val="auto"/>
              </w:rPr>
            </w:pPr>
            <w:r>
              <w:rPr>
                <w:rFonts w:ascii="Times New Roman" w:hAnsi="Times New Roman" w:eastAsia="宋体"/>
                <w:color w:val="auto"/>
              </w:rPr>
              <w:t>废包装材料</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hint="eastAsia" w:ascii="Times New Roman" w:hAnsi="Times New Roman" w:eastAsia="宋体"/>
                <w:snapToGrid w:val="0"/>
                <w:color w:val="auto"/>
                <w:kern w:val="21"/>
                <w:lang w:val="en-US" w:eastAsia="zh-CN"/>
              </w:rPr>
            </w:pPr>
            <w:r>
              <w:rPr>
                <w:rFonts w:ascii="Times New Roman" w:hAnsi="Times New Roman"/>
                <w:snapToGrid w:val="0"/>
                <w:color w:val="auto"/>
                <w:kern w:val="21"/>
              </w:rPr>
              <w:t>0.</w:t>
            </w:r>
            <w:r>
              <w:rPr>
                <w:rFonts w:hint="eastAsia" w:ascii="Times New Roman" w:hAnsi="Times New Roman" w:eastAsia="宋体"/>
                <w:snapToGrid w:val="0"/>
                <w:color w:val="auto"/>
                <w:kern w:val="21"/>
                <w:lang w:val="en-US" w:eastAsia="zh-CN"/>
              </w:rPr>
              <w:t>4</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ascii="Times New Roman" w:hAnsi="Times New Roman"/>
                <w:snapToGrid w:val="0"/>
                <w:color w:val="auto"/>
                <w:kern w:val="21"/>
              </w:rPr>
              <w:t>0.</w:t>
            </w:r>
            <w:r>
              <w:rPr>
                <w:rFonts w:hint="eastAsia" w:ascii="Times New Roman" w:hAnsi="Times New Roman" w:eastAsia="宋体"/>
                <w:snapToGrid w:val="0"/>
                <w:color w:val="auto"/>
                <w:kern w:val="21"/>
                <w:lang w:val="en-US" w:eastAsia="zh-CN"/>
              </w:rPr>
              <w:t>4</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restart"/>
            <w:vAlign w:val="center"/>
          </w:tcPr>
          <w:p>
            <w:pPr>
              <w:pStyle w:val="35"/>
              <w:spacing w:line="240" w:lineRule="auto"/>
              <w:rPr>
                <w:rFonts w:ascii="Times New Roman" w:hAnsi="Times New Roman"/>
                <w:snapToGrid w:val="0"/>
                <w:color w:val="auto"/>
                <w:kern w:val="21"/>
              </w:rPr>
            </w:pPr>
            <w:r>
              <w:rPr>
                <w:rFonts w:hint="eastAsia" w:hAnsi="宋体" w:eastAsia="宋体" w:cs="宋体"/>
                <w:snapToGrid w:val="0"/>
                <w:color w:val="auto"/>
                <w:kern w:val="21"/>
              </w:rPr>
              <w:t>危险废物</w:t>
            </w:r>
          </w:p>
        </w:tc>
        <w:tc>
          <w:tcPr>
            <w:tcW w:w="1276" w:type="dxa"/>
            <w:vAlign w:val="center"/>
          </w:tcPr>
          <w:p>
            <w:pPr>
              <w:pStyle w:val="35"/>
              <w:spacing w:line="240" w:lineRule="auto"/>
              <w:rPr>
                <w:rFonts w:ascii="Times New Roman" w:hAnsi="Times New Roman"/>
                <w:snapToGrid w:val="0"/>
                <w:color w:val="auto"/>
                <w:kern w:val="21"/>
              </w:rPr>
            </w:pPr>
            <w:r>
              <w:rPr>
                <w:rFonts w:hint="eastAsia" w:hAnsi="宋体" w:eastAsia="宋体" w:cs="宋体"/>
                <w:snapToGrid w:val="0"/>
                <w:color w:val="auto"/>
                <w:kern w:val="21"/>
              </w:rPr>
              <w:t>废机油</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hint="eastAsia" w:ascii="Times New Roman" w:hAnsi="Times New Roman" w:eastAsia="宋体"/>
                <w:snapToGrid w:val="0"/>
                <w:color w:val="auto"/>
                <w:kern w:val="21"/>
                <w:lang w:val="en-US" w:eastAsia="zh-CN"/>
              </w:rPr>
            </w:pPr>
            <w:r>
              <w:rPr>
                <w:rFonts w:ascii="Times New Roman" w:hAnsi="Times New Roman"/>
                <w:snapToGrid w:val="0"/>
                <w:color w:val="auto"/>
                <w:kern w:val="21"/>
              </w:rPr>
              <w:t>0.</w:t>
            </w:r>
            <w:r>
              <w:rPr>
                <w:rFonts w:hint="eastAsia" w:ascii="Times New Roman" w:hAnsi="Times New Roman" w:eastAsia="宋体"/>
                <w:snapToGrid w:val="0"/>
                <w:color w:val="auto"/>
                <w:kern w:val="21"/>
                <w:lang w:val="en-US" w:eastAsia="zh-CN"/>
              </w:rPr>
              <w:t>2</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ascii="Times New Roman" w:hAnsi="Times New Roman"/>
                <w:snapToGrid w:val="0"/>
                <w:color w:val="auto"/>
                <w:kern w:val="21"/>
              </w:rPr>
              <w:t>0.</w:t>
            </w:r>
            <w:r>
              <w:rPr>
                <w:rFonts w:hint="eastAsia" w:ascii="Times New Roman" w:hAnsi="Times New Roman" w:eastAsia="宋体"/>
                <w:snapToGrid w:val="0"/>
                <w:color w:val="auto"/>
                <w:kern w:val="21"/>
                <w:lang w:val="en-US" w:eastAsia="zh-CN"/>
              </w:rPr>
              <w:t>2</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continue"/>
            <w:vAlign w:val="center"/>
          </w:tcPr>
          <w:p>
            <w:pPr>
              <w:pStyle w:val="35"/>
              <w:spacing w:line="240" w:lineRule="auto"/>
              <w:rPr>
                <w:rFonts w:ascii="Times New Roman" w:hAnsi="Times New Roman"/>
                <w:snapToGrid w:val="0"/>
                <w:color w:val="auto"/>
                <w:kern w:val="21"/>
              </w:rPr>
            </w:pPr>
          </w:p>
        </w:tc>
        <w:tc>
          <w:tcPr>
            <w:tcW w:w="1276" w:type="dxa"/>
            <w:vAlign w:val="center"/>
          </w:tcPr>
          <w:p>
            <w:pPr>
              <w:pStyle w:val="35"/>
              <w:spacing w:line="240" w:lineRule="auto"/>
              <w:rPr>
                <w:rFonts w:ascii="Times New Roman" w:hAnsi="Times New Roman"/>
                <w:snapToGrid w:val="0"/>
                <w:color w:val="auto"/>
                <w:kern w:val="21"/>
              </w:rPr>
            </w:pPr>
            <w:r>
              <w:rPr>
                <w:rFonts w:hint="eastAsia" w:hAnsi="宋体" w:eastAsia="宋体" w:cs="宋体"/>
                <w:snapToGrid w:val="0"/>
                <w:color w:val="auto"/>
                <w:kern w:val="21"/>
              </w:rPr>
              <w:t>废活性炭</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hint="default" w:ascii="Times New Roman" w:hAnsi="Times New Roman" w:eastAsia="宋体"/>
                <w:snapToGrid w:val="0"/>
                <w:color w:val="auto"/>
                <w:kern w:val="21"/>
                <w:lang w:val="en-US" w:eastAsia="zh-CN"/>
              </w:rPr>
            </w:pPr>
            <w:r>
              <w:rPr>
                <w:rFonts w:hint="eastAsia" w:ascii="Times New Roman" w:hAnsi="Times New Roman" w:eastAsia="宋体"/>
                <w:snapToGrid w:val="0"/>
                <w:color w:val="auto"/>
                <w:kern w:val="21"/>
                <w:lang w:val="en-US" w:eastAsia="zh-CN"/>
              </w:rPr>
              <w:t>0.5</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hint="eastAsia" w:ascii="Times New Roman" w:hAnsi="Times New Roman" w:eastAsia="宋体"/>
                <w:snapToGrid w:val="0"/>
                <w:color w:val="auto"/>
                <w:kern w:val="21"/>
                <w:lang w:val="en-US" w:eastAsia="zh-CN"/>
              </w:rPr>
              <w:t>0.5</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continue"/>
            <w:vAlign w:val="center"/>
          </w:tcPr>
          <w:p>
            <w:pPr>
              <w:pStyle w:val="35"/>
              <w:spacing w:line="240" w:lineRule="auto"/>
              <w:rPr>
                <w:rFonts w:ascii="Times New Roman" w:hAnsi="Times New Roman"/>
                <w:snapToGrid w:val="0"/>
                <w:color w:val="auto"/>
                <w:kern w:val="21"/>
              </w:rPr>
            </w:pPr>
          </w:p>
        </w:tc>
        <w:tc>
          <w:tcPr>
            <w:tcW w:w="1276" w:type="dxa"/>
            <w:vAlign w:val="center"/>
          </w:tcPr>
          <w:p>
            <w:pPr>
              <w:pStyle w:val="35"/>
              <w:spacing w:line="240" w:lineRule="auto"/>
              <w:rPr>
                <w:rFonts w:ascii="Times New Roman" w:hAnsi="Times New Roman"/>
                <w:snapToGrid w:val="0"/>
                <w:color w:val="auto"/>
                <w:kern w:val="21"/>
              </w:rPr>
            </w:pPr>
            <w:r>
              <w:rPr>
                <w:rFonts w:hint="eastAsia" w:hAnsi="宋体" w:eastAsia="宋体" w:cs="宋体"/>
                <w:snapToGrid w:val="0"/>
                <w:color w:val="auto"/>
                <w:kern w:val="21"/>
              </w:rPr>
              <w:t>废灯管</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hint="eastAsia" w:ascii="Times New Roman" w:hAnsi="Times New Roman" w:eastAsia="宋体"/>
                <w:snapToGrid w:val="0"/>
                <w:color w:val="auto"/>
                <w:kern w:val="21"/>
                <w:lang w:val="en-US" w:eastAsia="zh-CN"/>
              </w:rPr>
            </w:pPr>
            <w:r>
              <w:rPr>
                <w:rFonts w:ascii="Times New Roman" w:hAnsi="Times New Roman"/>
                <w:snapToGrid w:val="0"/>
                <w:color w:val="auto"/>
                <w:kern w:val="21"/>
              </w:rPr>
              <w:t>0.</w:t>
            </w:r>
            <w:r>
              <w:rPr>
                <w:rFonts w:hint="eastAsia" w:ascii="Times New Roman" w:hAnsi="Times New Roman" w:eastAsia="宋体"/>
                <w:snapToGrid w:val="0"/>
                <w:color w:val="auto"/>
                <w:kern w:val="21"/>
                <w:lang w:val="en-US" w:eastAsia="zh-CN"/>
              </w:rPr>
              <w:t>3</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ascii="Times New Roman" w:hAnsi="Times New Roman"/>
                <w:snapToGrid w:val="0"/>
                <w:color w:val="auto"/>
                <w:kern w:val="21"/>
              </w:rPr>
            </w:pPr>
            <w:r>
              <w:rPr>
                <w:rFonts w:ascii="Times New Roman" w:hAnsi="Times New Roman"/>
                <w:snapToGrid w:val="0"/>
                <w:color w:val="auto"/>
                <w:kern w:val="21"/>
              </w:rPr>
              <w:t>0.</w:t>
            </w:r>
            <w:r>
              <w:rPr>
                <w:rFonts w:hint="eastAsia" w:ascii="Times New Roman" w:hAnsi="Times New Roman" w:eastAsia="宋体"/>
                <w:snapToGrid w:val="0"/>
                <w:color w:val="auto"/>
                <w:kern w:val="21"/>
                <w:lang w:val="en-US" w:eastAsia="zh-CN"/>
              </w:rPr>
              <w:t>3</w:t>
            </w:r>
          </w:p>
        </w:tc>
        <w:tc>
          <w:tcPr>
            <w:tcW w:w="1029" w:type="dxa"/>
            <w:vAlign w:val="center"/>
          </w:tcPr>
          <w:p>
            <w:pPr>
              <w:pStyle w:val="35"/>
              <w:spacing w:line="240" w:lineRule="auto"/>
              <w:rPr>
                <w:rFonts w:ascii="Times New Roman" w:hAnsi="Times New Roman"/>
                <w:snapToGrid w:val="0"/>
                <w:color w:val="auto"/>
                <w:kern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0" w:type="dxa"/>
            <w:vMerge w:val="continue"/>
            <w:vAlign w:val="center"/>
          </w:tcPr>
          <w:p>
            <w:pPr>
              <w:pStyle w:val="35"/>
              <w:spacing w:line="240" w:lineRule="auto"/>
              <w:rPr>
                <w:rFonts w:ascii="Times New Roman" w:hAnsi="Times New Roman"/>
                <w:snapToGrid w:val="0"/>
                <w:color w:val="auto"/>
                <w:kern w:val="21"/>
              </w:rPr>
            </w:pPr>
          </w:p>
        </w:tc>
        <w:tc>
          <w:tcPr>
            <w:tcW w:w="1276" w:type="dxa"/>
            <w:vAlign w:val="center"/>
          </w:tcPr>
          <w:p>
            <w:pPr>
              <w:pStyle w:val="35"/>
              <w:spacing w:line="240" w:lineRule="auto"/>
              <w:rPr>
                <w:rFonts w:hint="eastAsia" w:hAnsi="宋体" w:eastAsia="宋体" w:cs="宋体"/>
                <w:snapToGrid w:val="0"/>
                <w:color w:val="auto"/>
                <w:kern w:val="21"/>
              </w:rPr>
            </w:pPr>
            <w:r>
              <w:rPr>
                <w:rFonts w:hint="eastAsia" w:eastAsia="宋体"/>
                <w:color w:val="auto"/>
                <w:sz w:val="21"/>
                <w:szCs w:val="21"/>
                <w:lang w:val="en-US" w:eastAsia="zh-CN"/>
              </w:rPr>
              <w:t>化验药剂废包装</w:t>
            </w:r>
          </w:p>
        </w:tc>
        <w:tc>
          <w:tcPr>
            <w:tcW w:w="1532" w:type="dxa"/>
            <w:vAlign w:val="center"/>
          </w:tcPr>
          <w:p>
            <w:pPr>
              <w:pStyle w:val="35"/>
              <w:spacing w:line="240" w:lineRule="auto"/>
              <w:rPr>
                <w:rFonts w:ascii="Times New Roman" w:hAnsi="Times New Roman"/>
                <w:snapToGrid w:val="0"/>
                <w:color w:val="auto"/>
                <w:kern w:val="21"/>
              </w:rPr>
            </w:pPr>
          </w:p>
        </w:tc>
        <w:tc>
          <w:tcPr>
            <w:tcW w:w="1150" w:type="dxa"/>
            <w:vAlign w:val="center"/>
          </w:tcPr>
          <w:p>
            <w:pPr>
              <w:pStyle w:val="35"/>
              <w:spacing w:line="240" w:lineRule="auto"/>
              <w:rPr>
                <w:rFonts w:ascii="Times New Roman" w:hAnsi="Times New Roman"/>
                <w:snapToGrid w:val="0"/>
                <w:color w:val="auto"/>
                <w:kern w:val="21"/>
              </w:rPr>
            </w:pPr>
          </w:p>
        </w:tc>
        <w:tc>
          <w:tcPr>
            <w:tcW w:w="1532" w:type="dxa"/>
            <w:vAlign w:val="center"/>
          </w:tcPr>
          <w:p>
            <w:pPr>
              <w:pStyle w:val="35"/>
              <w:spacing w:line="240" w:lineRule="auto"/>
              <w:rPr>
                <w:rFonts w:ascii="Times New Roman" w:hAnsi="Times New Roman"/>
                <w:snapToGrid w:val="0"/>
                <w:color w:val="auto"/>
                <w:kern w:val="21"/>
              </w:rPr>
            </w:pPr>
          </w:p>
        </w:tc>
        <w:tc>
          <w:tcPr>
            <w:tcW w:w="1405" w:type="dxa"/>
            <w:vAlign w:val="center"/>
          </w:tcPr>
          <w:p>
            <w:pPr>
              <w:pStyle w:val="35"/>
              <w:spacing w:line="240" w:lineRule="auto"/>
              <w:rPr>
                <w:rFonts w:hint="default" w:ascii="Times New Roman" w:hAnsi="Times New Roman" w:eastAsia="宋体"/>
                <w:snapToGrid w:val="0"/>
                <w:color w:val="auto"/>
                <w:kern w:val="21"/>
                <w:lang w:val="en-US" w:eastAsia="zh-CN"/>
              </w:rPr>
            </w:pPr>
            <w:r>
              <w:rPr>
                <w:rFonts w:hint="eastAsia" w:ascii="Times New Roman" w:hAnsi="Times New Roman" w:eastAsia="宋体"/>
                <w:snapToGrid w:val="0"/>
                <w:color w:val="auto"/>
                <w:kern w:val="21"/>
                <w:lang w:val="en-US" w:eastAsia="zh-CN"/>
              </w:rPr>
              <w:t>0.1</w:t>
            </w:r>
          </w:p>
        </w:tc>
        <w:tc>
          <w:tcPr>
            <w:tcW w:w="1588" w:type="dxa"/>
            <w:vAlign w:val="center"/>
          </w:tcPr>
          <w:p>
            <w:pPr>
              <w:pStyle w:val="35"/>
              <w:spacing w:line="240" w:lineRule="auto"/>
              <w:rPr>
                <w:rFonts w:ascii="Times New Roman" w:hAnsi="Times New Roman"/>
                <w:snapToGrid w:val="0"/>
                <w:color w:val="auto"/>
                <w:kern w:val="21"/>
              </w:rPr>
            </w:pPr>
          </w:p>
        </w:tc>
        <w:tc>
          <w:tcPr>
            <w:tcW w:w="1588" w:type="dxa"/>
            <w:vAlign w:val="center"/>
          </w:tcPr>
          <w:p>
            <w:pPr>
              <w:pStyle w:val="35"/>
              <w:spacing w:line="240" w:lineRule="auto"/>
              <w:rPr>
                <w:rFonts w:ascii="Times New Roman" w:hAnsi="Times New Roman"/>
                <w:snapToGrid w:val="0"/>
                <w:color w:val="auto"/>
                <w:kern w:val="21"/>
              </w:rPr>
            </w:pPr>
          </w:p>
        </w:tc>
        <w:tc>
          <w:tcPr>
            <w:tcW w:w="1478" w:type="dxa"/>
            <w:vAlign w:val="center"/>
          </w:tcPr>
          <w:p>
            <w:pPr>
              <w:pStyle w:val="35"/>
              <w:spacing w:line="240" w:lineRule="auto"/>
              <w:rPr>
                <w:rFonts w:hint="default" w:ascii="Times New Roman" w:hAnsi="Times New Roman" w:eastAsia="宋体"/>
                <w:snapToGrid w:val="0"/>
                <w:color w:val="auto"/>
                <w:kern w:val="21"/>
                <w:lang w:val="en-US" w:eastAsia="zh-CN"/>
              </w:rPr>
            </w:pPr>
            <w:r>
              <w:rPr>
                <w:rFonts w:hint="eastAsia" w:ascii="Times New Roman" w:hAnsi="Times New Roman" w:eastAsia="宋体"/>
                <w:snapToGrid w:val="0"/>
                <w:color w:val="auto"/>
                <w:kern w:val="21"/>
                <w:lang w:val="en-US" w:eastAsia="zh-CN"/>
              </w:rPr>
              <w:t>0.1</w:t>
            </w:r>
          </w:p>
        </w:tc>
        <w:tc>
          <w:tcPr>
            <w:tcW w:w="1029" w:type="dxa"/>
            <w:vAlign w:val="center"/>
          </w:tcPr>
          <w:p>
            <w:pPr>
              <w:pStyle w:val="35"/>
              <w:spacing w:line="240" w:lineRule="auto"/>
              <w:rPr>
                <w:rFonts w:ascii="Times New Roman" w:hAnsi="Times New Roman"/>
                <w:snapToGrid w:val="0"/>
                <w:color w:val="auto"/>
                <w:kern w:val="21"/>
              </w:rPr>
            </w:pPr>
          </w:p>
        </w:tc>
      </w:tr>
    </w:tbl>
    <w:p>
      <w:pPr>
        <w:pStyle w:val="35"/>
        <w:spacing w:before="249" w:beforeLines="80" w:after="24"/>
        <w:jc w:val="left"/>
        <w:rPr>
          <w:rFonts w:ascii="Times New Roman" w:hAnsi="Times New Roman"/>
          <w:snapToGrid w:val="0"/>
          <w:color w:val="auto"/>
          <w:spacing w:val="-6"/>
          <w:kern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hAnsi="宋体" w:eastAsia="宋体" w:cs="宋体"/>
          <w:snapToGrid w:val="0"/>
          <w:color w:val="auto"/>
          <w:kern w:val="21"/>
        </w:rPr>
        <w:t>注：</w:t>
      </w:r>
      <w:r>
        <w:rPr>
          <w:rFonts w:ascii="Times New Roman" w:hAnsi="Times New Roman"/>
          <w:snapToGrid w:val="0"/>
          <w:color w:val="auto"/>
          <w:spacing w:val="-16"/>
          <w:kern w:val="21"/>
        </w:rPr>
        <w:fldChar w:fldCharType="begin"/>
      </w:r>
      <w:r>
        <w:rPr>
          <w:rFonts w:ascii="Times New Roman" w:hAnsi="Times New Roman"/>
          <w:snapToGrid w:val="0"/>
          <w:color w:val="auto"/>
          <w:spacing w:val="-16"/>
          <w:kern w:val="21"/>
        </w:rPr>
        <w:instrText xml:space="preserve"> = 6 \* GB3 \* MERGEFORMAT </w:instrText>
      </w:r>
      <w:r>
        <w:rPr>
          <w:rFonts w:ascii="Times New Roman" w:hAnsi="Times New Roman"/>
          <w:snapToGrid w:val="0"/>
          <w:color w:val="auto"/>
          <w:spacing w:val="-16"/>
          <w:kern w:val="21"/>
        </w:rPr>
        <w:fldChar w:fldCharType="separate"/>
      </w:r>
      <w:r>
        <w:rPr>
          <w:rFonts w:hint="eastAsia" w:hAnsi="宋体" w:eastAsia="宋体" w:cs="宋体"/>
          <w:color w:val="auto"/>
        </w:rPr>
        <w:t>⑥</w:t>
      </w:r>
      <w:r>
        <w:rPr>
          <w:rFonts w:ascii="Times New Roman" w:hAnsi="Times New Roman"/>
          <w:snapToGrid w:val="0"/>
          <w:color w:val="auto"/>
          <w:spacing w:val="-16"/>
          <w:kern w:val="21"/>
        </w:rPr>
        <w:fldChar w:fldCharType="end"/>
      </w:r>
      <w:r>
        <w:rPr>
          <w:rFonts w:ascii="Times New Roman" w:hAnsi="Times New Roman"/>
          <w:snapToGrid w:val="0"/>
          <w:color w:val="auto"/>
          <w:spacing w:val="-16"/>
          <w:kern w:val="21"/>
        </w:rPr>
        <w:t>=</w:t>
      </w:r>
      <w:r>
        <w:rPr>
          <w:rFonts w:ascii="Times New Roman" w:hAnsi="Times New Roman"/>
          <w:snapToGrid w:val="0"/>
          <w:color w:val="auto"/>
          <w:spacing w:val="-6"/>
          <w:kern w:val="21"/>
        </w:rPr>
        <w:fldChar w:fldCharType="begin"/>
      </w:r>
      <w:r>
        <w:rPr>
          <w:rFonts w:ascii="Times New Roman" w:hAnsi="Times New Roman"/>
          <w:snapToGrid w:val="0"/>
          <w:color w:val="auto"/>
          <w:spacing w:val="-6"/>
          <w:kern w:val="21"/>
        </w:rPr>
        <w:instrText xml:space="preserve"> = 1 \* GB3 \* MERGEFORMAT </w:instrText>
      </w:r>
      <w:r>
        <w:rPr>
          <w:rFonts w:ascii="Times New Roman" w:hAnsi="Times New Roman"/>
          <w:snapToGrid w:val="0"/>
          <w:color w:val="auto"/>
          <w:spacing w:val="-6"/>
          <w:kern w:val="21"/>
        </w:rPr>
        <w:fldChar w:fldCharType="separate"/>
      </w:r>
      <w:r>
        <w:rPr>
          <w:rFonts w:hint="eastAsia" w:hAnsi="宋体" w:eastAsia="宋体" w:cs="宋体"/>
          <w:color w:val="auto"/>
        </w:rPr>
        <w:t>①</w:t>
      </w:r>
      <w:r>
        <w:rPr>
          <w:rFonts w:ascii="Times New Roman" w:hAnsi="Times New Roman"/>
          <w:snapToGrid w:val="0"/>
          <w:color w:val="auto"/>
          <w:spacing w:val="-6"/>
          <w:kern w:val="21"/>
        </w:rPr>
        <w:fldChar w:fldCharType="end"/>
      </w:r>
      <w:r>
        <w:rPr>
          <w:rFonts w:ascii="Times New Roman" w:hAnsi="Times New Roman"/>
          <w:snapToGrid w:val="0"/>
          <w:color w:val="auto"/>
          <w:spacing w:val="-6"/>
          <w:kern w:val="21"/>
        </w:rPr>
        <w:t>+</w:t>
      </w:r>
      <w:r>
        <w:rPr>
          <w:rFonts w:ascii="Times New Roman" w:hAnsi="Times New Roman"/>
          <w:snapToGrid w:val="0"/>
          <w:color w:val="auto"/>
          <w:spacing w:val="-6"/>
          <w:kern w:val="21"/>
        </w:rPr>
        <w:fldChar w:fldCharType="begin"/>
      </w:r>
      <w:r>
        <w:rPr>
          <w:rFonts w:ascii="Times New Roman" w:hAnsi="Times New Roman"/>
          <w:snapToGrid w:val="0"/>
          <w:color w:val="auto"/>
          <w:spacing w:val="-6"/>
          <w:kern w:val="21"/>
        </w:rPr>
        <w:instrText xml:space="preserve"> = 3 \* GB3 \* MERGEFORMAT </w:instrText>
      </w:r>
      <w:r>
        <w:rPr>
          <w:rFonts w:ascii="Times New Roman" w:hAnsi="Times New Roman"/>
          <w:snapToGrid w:val="0"/>
          <w:color w:val="auto"/>
          <w:spacing w:val="-6"/>
          <w:kern w:val="21"/>
        </w:rPr>
        <w:fldChar w:fldCharType="separate"/>
      </w:r>
      <w:r>
        <w:rPr>
          <w:rFonts w:hint="eastAsia" w:hAnsi="宋体" w:eastAsia="宋体" w:cs="宋体"/>
          <w:color w:val="auto"/>
        </w:rPr>
        <w:t>③</w:t>
      </w:r>
      <w:r>
        <w:rPr>
          <w:rFonts w:ascii="Times New Roman" w:hAnsi="Times New Roman"/>
          <w:snapToGrid w:val="0"/>
          <w:color w:val="auto"/>
          <w:spacing w:val="-6"/>
          <w:kern w:val="21"/>
        </w:rPr>
        <w:fldChar w:fldCharType="end"/>
      </w:r>
      <w:r>
        <w:rPr>
          <w:rFonts w:ascii="Times New Roman" w:hAnsi="Times New Roman"/>
          <w:snapToGrid w:val="0"/>
          <w:color w:val="auto"/>
          <w:spacing w:val="-6"/>
          <w:kern w:val="21"/>
        </w:rPr>
        <w:t>+</w:t>
      </w:r>
      <w:r>
        <w:rPr>
          <w:rFonts w:ascii="Times New Roman" w:hAnsi="Times New Roman"/>
          <w:snapToGrid w:val="0"/>
          <w:color w:val="auto"/>
          <w:spacing w:val="-6"/>
          <w:kern w:val="21"/>
        </w:rPr>
        <w:fldChar w:fldCharType="begin"/>
      </w:r>
      <w:r>
        <w:rPr>
          <w:rFonts w:ascii="Times New Roman" w:hAnsi="Times New Roman"/>
          <w:snapToGrid w:val="0"/>
          <w:color w:val="auto"/>
          <w:spacing w:val="-6"/>
          <w:kern w:val="21"/>
        </w:rPr>
        <w:instrText xml:space="preserve"> = 4 \* GB3 \* MERGEFORMAT </w:instrText>
      </w:r>
      <w:r>
        <w:rPr>
          <w:rFonts w:ascii="Times New Roman" w:hAnsi="Times New Roman"/>
          <w:snapToGrid w:val="0"/>
          <w:color w:val="auto"/>
          <w:spacing w:val="-6"/>
          <w:kern w:val="21"/>
        </w:rPr>
        <w:fldChar w:fldCharType="separate"/>
      </w:r>
      <w:r>
        <w:rPr>
          <w:rFonts w:hint="eastAsia" w:hAnsi="宋体" w:eastAsia="宋体" w:cs="宋体"/>
          <w:color w:val="auto"/>
        </w:rPr>
        <w:t>④</w:t>
      </w:r>
      <w:r>
        <w:rPr>
          <w:rFonts w:ascii="Times New Roman" w:hAnsi="Times New Roman"/>
          <w:snapToGrid w:val="0"/>
          <w:color w:val="auto"/>
          <w:spacing w:val="-6"/>
          <w:kern w:val="21"/>
        </w:rPr>
        <w:fldChar w:fldCharType="end"/>
      </w:r>
      <w:r>
        <w:rPr>
          <w:rFonts w:ascii="Times New Roman" w:hAnsi="Times New Roman"/>
          <w:snapToGrid w:val="0"/>
          <w:color w:val="auto"/>
          <w:spacing w:val="-6"/>
          <w:kern w:val="21"/>
        </w:rPr>
        <w:t>-</w:t>
      </w:r>
      <w:r>
        <w:rPr>
          <w:rFonts w:ascii="Times New Roman" w:hAnsi="Times New Roman"/>
          <w:snapToGrid w:val="0"/>
          <w:color w:val="auto"/>
          <w:spacing w:val="-16"/>
          <w:kern w:val="21"/>
        </w:rPr>
        <w:fldChar w:fldCharType="begin"/>
      </w:r>
      <w:r>
        <w:rPr>
          <w:rFonts w:ascii="Times New Roman" w:hAnsi="Times New Roman"/>
          <w:snapToGrid w:val="0"/>
          <w:color w:val="auto"/>
          <w:spacing w:val="-16"/>
          <w:kern w:val="21"/>
        </w:rPr>
        <w:instrText xml:space="preserve"> = 5 \* GB3 \* MERGEFORMAT </w:instrText>
      </w:r>
      <w:r>
        <w:rPr>
          <w:rFonts w:ascii="Times New Roman" w:hAnsi="Times New Roman"/>
          <w:snapToGrid w:val="0"/>
          <w:color w:val="auto"/>
          <w:spacing w:val="-16"/>
          <w:kern w:val="21"/>
        </w:rPr>
        <w:fldChar w:fldCharType="separate"/>
      </w:r>
      <w:r>
        <w:rPr>
          <w:rFonts w:hint="eastAsia" w:hAnsi="宋体" w:eastAsia="宋体" w:cs="宋体"/>
          <w:color w:val="auto"/>
        </w:rPr>
        <w:t>⑤</w:t>
      </w:r>
      <w:r>
        <w:rPr>
          <w:rFonts w:ascii="Times New Roman" w:hAnsi="Times New Roman"/>
          <w:snapToGrid w:val="0"/>
          <w:color w:val="auto"/>
          <w:spacing w:val="-16"/>
          <w:kern w:val="21"/>
        </w:rPr>
        <w:fldChar w:fldCharType="end"/>
      </w:r>
      <w:r>
        <w:rPr>
          <w:rFonts w:hint="eastAsia" w:hAnsi="宋体" w:eastAsia="宋体" w:cs="宋体"/>
          <w:snapToGrid w:val="0"/>
          <w:color w:val="auto"/>
          <w:spacing w:val="-16"/>
          <w:kern w:val="21"/>
        </w:rPr>
        <w:t>；</w:t>
      </w:r>
      <w:r>
        <w:rPr>
          <w:rFonts w:ascii="Times New Roman" w:hAnsi="Times New Roman"/>
          <w:snapToGrid w:val="0"/>
          <w:color w:val="auto"/>
          <w:spacing w:val="-6"/>
          <w:kern w:val="21"/>
        </w:rPr>
        <w:fldChar w:fldCharType="begin"/>
      </w:r>
      <w:r>
        <w:rPr>
          <w:rFonts w:ascii="Times New Roman" w:hAnsi="Times New Roman"/>
          <w:snapToGrid w:val="0"/>
          <w:color w:val="auto"/>
          <w:spacing w:val="-6"/>
          <w:kern w:val="21"/>
        </w:rPr>
        <w:instrText xml:space="preserve"> = 7 \* GB3 \* MERGEFORMAT </w:instrText>
      </w:r>
      <w:r>
        <w:rPr>
          <w:rFonts w:ascii="Times New Roman" w:hAnsi="Times New Roman"/>
          <w:snapToGrid w:val="0"/>
          <w:color w:val="auto"/>
          <w:spacing w:val="-6"/>
          <w:kern w:val="21"/>
        </w:rPr>
        <w:fldChar w:fldCharType="separate"/>
      </w:r>
      <w:r>
        <w:rPr>
          <w:rFonts w:hint="eastAsia" w:hAnsi="宋体" w:eastAsia="宋体" w:cs="宋体"/>
          <w:color w:val="auto"/>
        </w:rPr>
        <w:t>⑦</w:t>
      </w:r>
      <w:r>
        <w:rPr>
          <w:rFonts w:ascii="Times New Roman" w:hAnsi="Times New Roman"/>
          <w:snapToGrid w:val="0"/>
          <w:color w:val="auto"/>
          <w:spacing w:val="-6"/>
          <w:kern w:val="21"/>
        </w:rPr>
        <w:fldChar w:fldCharType="end"/>
      </w:r>
      <w:r>
        <w:rPr>
          <w:rFonts w:ascii="Times New Roman" w:hAnsi="Times New Roman"/>
          <w:snapToGrid w:val="0"/>
          <w:color w:val="auto"/>
          <w:spacing w:val="-6"/>
          <w:kern w:val="21"/>
        </w:rPr>
        <w:t>=</w:t>
      </w:r>
      <w:r>
        <w:rPr>
          <w:rFonts w:ascii="Times New Roman" w:hAnsi="Times New Roman"/>
          <w:snapToGrid w:val="0"/>
          <w:color w:val="auto"/>
          <w:spacing w:val="-16"/>
          <w:kern w:val="21"/>
        </w:rPr>
        <w:fldChar w:fldCharType="begin"/>
      </w:r>
      <w:r>
        <w:rPr>
          <w:rFonts w:ascii="Times New Roman" w:hAnsi="Times New Roman"/>
          <w:snapToGrid w:val="0"/>
          <w:color w:val="auto"/>
          <w:spacing w:val="-16"/>
          <w:kern w:val="21"/>
        </w:rPr>
        <w:instrText xml:space="preserve"> = 6 \* GB3 \* MERGEFORMAT </w:instrText>
      </w:r>
      <w:r>
        <w:rPr>
          <w:rFonts w:ascii="Times New Roman" w:hAnsi="Times New Roman"/>
          <w:snapToGrid w:val="0"/>
          <w:color w:val="auto"/>
          <w:spacing w:val="-16"/>
          <w:kern w:val="21"/>
        </w:rPr>
        <w:fldChar w:fldCharType="separate"/>
      </w:r>
      <w:r>
        <w:rPr>
          <w:rFonts w:hint="eastAsia" w:hAnsi="宋体" w:eastAsia="宋体" w:cs="宋体"/>
          <w:color w:val="auto"/>
        </w:rPr>
        <w:t>⑥</w:t>
      </w:r>
      <w:r>
        <w:rPr>
          <w:rFonts w:ascii="Times New Roman" w:hAnsi="Times New Roman"/>
          <w:snapToGrid w:val="0"/>
          <w:color w:val="auto"/>
          <w:spacing w:val="-16"/>
          <w:kern w:val="21"/>
        </w:rPr>
        <w:fldChar w:fldCharType="end"/>
      </w:r>
      <w:r>
        <w:rPr>
          <w:rFonts w:ascii="Times New Roman" w:hAnsi="Times New Roman"/>
          <w:snapToGrid w:val="0"/>
          <w:color w:val="auto"/>
          <w:spacing w:val="-16"/>
          <w:kern w:val="21"/>
        </w:rPr>
        <w:t>-</w:t>
      </w:r>
      <w:r>
        <w:rPr>
          <w:rFonts w:ascii="Times New Roman" w:hAnsi="Times New Roman"/>
          <w:snapToGrid w:val="0"/>
          <w:color w:val="auto"/>
          <w:spacing w:val="-6"/>
          <w:kern w:val="21"/>
        </w:rPr>
        <w:fldChar w:fldCharType="begin"/>
      </w:r>
      <w:r>
        <w:rPr>
          <w:rFonts w:ascii="Times New Roman" w:hAnsi="Times New Roman"/>
          <w:snapToGrid w:val="0"/>
          <w:color w:val="auto"/>
          <w:spacing w:val="-6"/>
          <w:kern w:val="21"/>
        </w:rPr>
        <w:instrText xml:space="preserve"> = 1 \* GB3 \* MERGEFORMAT </w:instrText>
      </w:r>
      <w:r>
        <w:rPr>
          <w:rFonts w:ascii="Times New Roman" w:hAnsi="Times New Roman"/>
          <w:snapToGrid w:val="0"/>
          <w:color w:val="auto"/>
          <w:spacing w:val="-6"/>
          <w:kern w:val="21"/>
        </w:rPr>
        <w:fldChar w:fldCharType="separate"/>
      </w:r>
      <w:r>
        <w:rPr>
          <w:rFonts w:hint="eastAsia" w:hAnsi="宋体" w:eastAsia="宋体" w:cs="宋体"/>
          <w:color w:val="auto"/>
        </w:rPr>
        <w:t>①</w:t>
      </w:r>
      <w:r>
        <w:rPr>
          <w:rFonts w:ascii="Times New Roman" w:hAnsi="Times New Roman"/>
          <w:snapToGrid w:val="0"/>
          <w:color w:val="auto"/>
          <w:spacing w:val="-6"/>
          <w:kern w:val="21"/>
        </w:rPr>
        <w:fldChar w:fldCharType="end"/>
      </w:r>
    </w:p>
    <w:p>
      <w:pPr>
        <w:pStyle w:val="35"/>
        <w:spacing w:before="249" w:beforeLines="80" w:after="24"/>
        <w:jc w:val="left"/>
        <w:rPr>
          <w:rFonts w:ascii="Times New Roman" w:hAnsi="Times New Roman" w:eastAsia="宋体"/>
          <w:snapToGrid w:val="0"/>
          <w:color w:val="auto"/>
          <w:spacing w:val="-6"/>
          <w:kern w:val="21"/>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moder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华文中宋">
    <w:altName w:val="宋体"/>
    <w:panose1 w:val="02010600040101010101"/>
    <w:charset w:val="86"/>
    <w:family w:val="auto"/>
    <w:pitch w:val="default"/>
    <w:sig w:usb0="00000000" w:usb1="00000000" w:usb2="00000000" w:usb3="00000000" w:csb0="0004009F" w:csb1="DFD7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A67F2B"/>
    <w:multiLevelType w:val="singleLevel"/>
    <w:tmpl w:val="8BA67F2B"/>
    <w:lvl w:ilvl="0" w:tentative="0">
      <w:start w:val="5"/>
      <w:numFmt w:val="upperLetter"/>
      <w:suff w:val="nothing"/>
      <w:lvlText w:val="%1、"/>
      <w:lvlJc w:val="left"/>
    </w:lvl>
  </w:abstractNum>
  <w:abstractNum w:abstractNumId="1">
    <w:nsid w:val="01F00439"/>
    <w:multiLevelType w:val="multilevel"/>
    <w:tmpl w:val="01F00439"/>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575172B"/>
    <w:multiLevelType w:val="multilevel"/>
    <w:tmpl w:val="0575172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60822752"/>
    <w:multiLevelType w:val="multilevel"/>
    <w:tmpl w:val="6082275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934488A"/>
    <w:multiLevelType w:val="multilevel"/>
    <w:tmpl w:val="6934488A"/>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RiOTM3M2Q2NDY2ZWFhZGMxNzhmOTcyN2M4MzdhYTcifQ=="/>
    <w:docVar w:name="KSO_WPS_MARK_KEY" w:val="5f895b9c-db95-436a-b186-3bd60aedc248"/>
  </w:docVars>
  <w:rsids>
    <w:rsidRoot w:val="00B97D6A"/>
    <w:rsid w:val="000011BD"/>
    <w:rsid w:val="00004C3E"/>
    <w:rsid w:val="0000564F"/>
    <w:rsid w:val="0000689B"/>
    <w:rsid w:val="00007597"/>
    <w:rsid w:val="00010A39"/>
    <w:rsid w:val="0002505C"/>
    <w:rsid w:val="00030A28"/>
    <w:rsid w:val="00031532"/>
    <w:rsid w:val="000323C0"/>
    <w:rsid w:val="000364E1"/>
    <w:rsid w:val="00045BA5"/>
    <w:rsid w:val="00046F14"/>
    <w:rsid w:val="00047A6D"/>
    <w:rsid w:val="00047B93"/>
    <w:rsid w:val="00050857"/>
    <w:rsid w:val="00056D2F"/>
    <w:rsid w:val="000612AF"/>
    <w:rsid w:val="00067858"/>
    <w:rsid w:val="00067892"/>
    <w:rsid w:val="00073E30"/>
    <w:rsid w:val="00075430"/>
    <w:rsid w:val="000774A3"/>
    <w:rsid w:val="00083692"/>
    <w:rsid w:val="00092295"/>
    <w:rsid w:val="000A26E7"/>
    <w:rsid w:val="000A63BF"/>
    <w:rsid w:val="000A784E"/>
    <w:rsid w:val="000B55E2"/>
    <w:rsid w:val="000B5E00"/>
    <w:rsid w:val="000C1E2B"/>
    <w:rsid w:val="000D0F99"/>
    <w:rsid w:val="000D24C0"/>
    <w:rsid w:val="000D2A73"/>
    <w:rsid w:val="000D2B5A"/>
    <w:rsid w:val="000E26EB"/>
    <w:rsid w:val="000E33B7"/>
    <w:rsid w:val="000E36ED"/>
    <w:rsid w:val="000E3C2A"/>
    <w:rsid w:val="000F16C6"/>
    <w:rsid w:val="000F1AFC"/>
    <w:rsid w:val="000F64BA"/>
    <w:rsid w:val="00106071"/>
    <w:rsid w:val="001118D4"/>
    <w:rsid w:val="00112676"/>
    <w:rsid w:val="00120F7D"/>
    <w:rsid w:val="0012313C"/>
    <w:rsid w:val="00127BDF"/>
    <w:rsid w:val="001341B2"/>
    <w:rsid w:val="00135639"/>
    <w:rsid w:val="001434DA"/>
    <w:rsid w:val="001474E9"/>
    <w:rsid w:val="00152CE9"/>
    <w:rsid w:val="00153C27"/>
    <w:rsid w:val="00156A94"/>
    <w:rsid w:val="0016503E"/>
    <w:rsid w:val="00165A41"/>
    <w:rsid w:val="00170B2D"/>
    <w:rsid w:val="00173BFE"/>
    <w:rsid w:val="00183A57"/>
    <w:rsid w:val="001912FC"/>
    <w:rsid w:val="00191C29"/>
    <w:rsid w:val="00192ED5"/>
    <w:rsid w:val="001958C5"/>
    <w:rsid w:val="001A1D97"/>
    <w:rsid w:val="001A2472"/>
    <w:rsid w:val="001A6536"/>
    <w:rsid w:val="001A6A19"/>
    <w:rsid w:val="001B0402"/>
    <w:rsid w:val="001B31F2"/>
    <w:rsid w:val="001D2C6C"/>
    <w:rsid w:val="001E0487"/>
    <w:rsid w:val="001E12ED"/>
    <w:rsid w:val="001F5C6B"/>
    <w:rsid w:val="001F6694"/>
    <w:rsid w:val="00203BDD"/>
    <w:rsid w:val="00207CE6"/>
    <w:rsid w:val="00216E06"/>
    <w:rsid w:val="00224A5F"/>
    <w:rsid w:val="00224BE6"/>
    <w:rsid w:val="002254FF"/>
    <w:rsid w:val="00225772"/>
    <w:rsid w:val="002310E0"/>
    <w:rsid w:val="00231310"/>
    <w:rsid w:val="00231C40"/>
    <w:rsid w:val="0023790E"/>
    <w:rsid w:val="0024009E"/>
    <w:rsid w:val="002412A7"/>
    <w:rsid w:val="00243713"/>
    <w:rsid w:val="002446A0"/>
    <w:rsid w:val="00251BC6"/>
    <w:rsid w:val="00256B54"/>
    <w:rsid w:val="00270ED1"/>
    <w:rsid w:val="002745ED"/>
    <w:rsid w:val="00274CDE"/>
    <w:rsid w:val="00275394"/>
    <w:rsid w:val="00276B05"/>
    <w:rsid w:val="00281931"/>
    <w:rsid w:val="0028354C"/>
    <w:rsid w:val="0028400C"/>
    <w:rsid w:val="00285A59"/>
    <w:rsid w:val="00286F51"/>
    <w:rsid w:val="00290A75"/>
    <w:rsid w:val="0029106A"/>
    <w:rsid w:val="00291827"/>
    <w:rsid w:val="002923B9"/>
    <w:rsid w:val="0029512F"/>
    <w:rsid w:val="00295B1E"/>
    <w:rsid w:val="002A231B"/>
    <w:rsid w:val="002A388F"/>
    <w:rsid w:val="002A48A3"/>
    <w:rsid w:val="002A547B"/>
    <w:rsid w:val="002A60AC"/>
    <w:rsid w:val="002B5B00"/>
    <w:rsid w:val="002C13BF"/>
    <w:rsid w:val="002D3515"/>
    <w:rsid w:val="002D42CB"/>
    <w:rsid w:val="002D4B32"/>
    <w:rsid w:val="002E10B5"/>
    <w:rsid w:val="002E5761"/>
    <w:rsid w:val="002F7E9D"/>
    <w:rsid w:val="0030058E"/>
    <w:rsid w:val="00302325"/>
    <w:rsid w:val="0030232F"/>
    <w:rsid w:val="0030341B"/>
    <w:rsid w:val="00303484"/>
    <w:rsid w:val="00305B84"/>
    <w:rsid w:val="00313DF5"/>
    <w:rsid w:val="003158D8"/>
    <w:rsid w:val="00317E90"/>
    <w:rsid w:val="00317FF6"/>
    <w:rsid w:val="00321F00"/>
    <w:rsid w:val="00324FB8"/>
    <w:rsid w:val="00326BB4"/>
    <w:rsid w:val="00327E04"/>
    <w:rsid w:val="00333A0E"/>
    <w:rsid w:val="00337C06"/>
    <w:rsid w:val="00345337"/>
    <w:rsid w:val="00345D02"/>
    <w:rsid w:val="00346272"/>
    <w:rsid w:val="003477F6"/>
    <w:rsid w:val="003500F7"/>
    <w:rsid w:val="003540DB"/>
    <w:rsid w:val="0036059E"/>
    <w:rsid w:val="00363F90"/>
    <w:rsid w:val="00365C8F"/>
    <w:rsid w:val="00366C75"/>
    <w:rsid w:val="003757CD"/>
    <w:rsid w:val="00377A34"/>
    <w:rsid w:val="0038485E"/>
    <w:rsid w:val="00385C31"/>
    <w:rsid w:val="00396DBD"/>
    <w:rsid w:val="003A2E7A"/>
    <w:rsid w:val="003A3158"/>
    <w:rsid w:val="003A362F"/>
    <w:rsid w:val="003A59B0"/>
    <w:rsid w:val="003A6BF1"/>
    <w:rsid w:val="003A78AA"/>
    <w:rsid w:val="003B0A66"/>
    <w:rsid w:val="003B41B7"/>
    <w:rsid w:val="003C38D0"/>
    <w:rsid w:val="003C3E3E"/>
    <w:rsid w:val="003C40E9"/>
    <w:rsid w:val="003C5747"/>
    <w:rsid w:val="003C6C34"/>
    <w:rsid w:val="003D095D"/>
    <w:rsid w:val="003D0DC1"/>
    <w:rsid w:val="003D2DDB"/>
    <w:rsid w:val="003E3830"/>
    <w:rsid w:val="003E5245"/>
    <w:rsid w:val="003E6D9A"/>
    <w:rsid w:val="003E70DD"/>
    <w:rsid w:val="003F4EF2"/>
    <w:rsid w:val="003F4EFB"/>
    <w:rsid w:val="003F5721"/>
    <w:rsid w:val="003F576D"/>
    <w:rsid w:val="00402671"/>
    <w:rsid w:val="00403390"/>
    <w:rsid w:val="00406F04"/>
    <w:rsid w:val="00416DB8"/>
    <w:rsid w:val="00422DC7"/>
    <w:rsid w:val="00423F9F"/>
    <w:rsid w:val="0042594E"/>
    <w:rsid w:val="00426A32"/>
    <w:rsid w:val="00436D5A"/>
    <w:rsid w:val="00437AC0"/>
    <w:rsid w:val="004402F5"/>
    <w:rsid w:val="004532CD"/>
    <w:rsid w:val="00454AC3"/>
    <w:rsid w:val="0045548B"/>
    <w:rsid w:val="004573BD"/>
    <w:rsid w:val="00465C23"/>
    <w:rsid w:val="00467245"/>
    <w:rsid w:val="004730F0"/>
    <w:rsid w:val="004747F8"/>
    <w:rsid w:val="00475573"/>
    <w:rsid w:val="00475B2C"/>
    <w:rsid w:val="00485755"/>
    <w:rsid w:val="0049618F"/>
    <w:rsid w:val="004A0733"/>
    <w:rsid w:val="004A2A30"/>
    <w:rsid w:val="004A73E7"/>
    <w:rsid w:val="004B05B4"/>
    <w:rsid w:val="004B3F23"/>
    <w:rsid w:val="004B7427"/>
    <w:rsid w:val="004B76C2"/>
    <w:rsid w:val="004B775D"/>
    <w:rsid w:val="004C3C3D"/>
    <w:rsid w:val="004C639D"/>
    <w:rsid w:val="004D27DF"/>
    <w:rsid w:val="004D53D4"/>
    <w:rsid w:val="004E784A"/>
    <w:rsid w:val="004F1E3B"/>
    <w:rsid w:val="004F516E"/>
    <w:rsid w:val="005061FA"/>
    <w:rsid w:val="00515BDF"/>
    <w:rsid w:val="00524601"/>
    <w:rsid w:val="0053006C"/>
    <w:rsid w:val="005447B0"/>
    <w:rsid w:val="00545927"/>
    <w:rsid w:val="005468EB"/>
    <w:rsid w:val="00546AF8"/>
    <w:rsid w:val="0055021D"/>
    <w:rsid w:val="005529A5"/>
    <w:rsid w:val="005539B5"/>
    <w:rsid w:val="0056178F"/>
    <w:rsid w:val="00563CB4"/>
    <w:rsid w:val="005642D9"/>
    <w:rsid w:val="00566731"/>
    <w:rsid w:val="00566A1A"/>
    <w:rsid w:val="00577AD1"/>
    <w:rsid w:val="005814A7"/>
    <w:rsid w:val="00585A6B"/>
    <w:rsid w:val="00590970"/>
    <w:rsid w:val="005A478E"/>
    <w:rsid w:val="005B0F29"/>
    <w:rsid w:val="005B119A"/>
    <w:rsid w:val="005C4E52"/>
    <w:rsid w:val="005C7377"/>
    <w:rsid w:val="005C7C8D"/>
    <w:rsid w:val="005D5F45"/>
    <w:rsid w:val="005F127E"/>
    <w:rsid w:val="005F5A30"/>
    <w:rsid w:val="005F5DDA"/>
    <w:rsid w:val="0060201D"/>
    <w:rsid w:val="00602DD4"/>
    <w:rsid w:val="00603B59"/>
    <w:rsid w:val="00604755"/>
    <w:rsid w:val="00614F7B"/>
    <w:rsid w:val="00615DBC"/>
    <w:rsid w:val="00624EC7"/>
    <w:rsid w:val="00625501"/>
    <w:rsid w:val="00630625"/>
    <w:rsid w:val="006350F8"/>
    <w:rsid w:val="0063661A"/>
    <w:rsid w:val="006435A8"/>
    <w:rsid w:val="00644746"/>
    <w:rsid w:val="00650275"/>
    <w:rsid w:val="00651357"/>
    <w:rsid w:val="00654D65"/>
    <w:rsid w:val="00657278"/>
    <w:rsid w:val="006606BD"/>
    <w:rsid w:val="00667B29"/>
    <w:rsid w:val="00672B2C"/>
    <w:rsid w:val="00674E15"/>
    <w:rsid w:val="006766B1"/>
    <w:rsid w:val="00685320"/>
    <w:rsid w:val="00685D64"/>
    <w:rsid w:val="00694C27"/>
    <w:rsid w:val="00695DBD"/>
    <w:rsid w:val="006A1B6A"/>
    <w:rsid w:val="006A5487"/>
    <w:rsid w:val="006A6733"/>
    <w:rsid w:val="006B151C"/>
    <w:rsid w:val="006B1872"/>
    <w:rsid w:val="006B657A"/>
    <w:rsid w:val="006C03C8"/>
    <w:rsid w:val="006C349F"/>
    <w:rsid w:val="006C468E"/>
    <w:rsid w:val="006C662A"/>
    <w:rsid w:val="006D227C"/>
    <w:rsid w:val="006D2A80"/>
    <w:rsid w:val="006D2EF8"/>
    <w:rsid w:val="006D3812"/>
    <w:rsid w:val="006D51E3"/>
    <w:rsid w:val="006D5573"/>
    <w:rsid w:val="006D6017"/>
    <w:rsid w:val="006E1674"/>
    <w:rsid w:val="006E1BC7"/>
    <w:rsid w:val="006F3B67"/>
    <w:rsid w:val="006F51F1"/>
    <w:rsid w:val="00702D96"/>
    <w:rsid w:val="00702F7F"/>
    <w:rsid w:val="00707A75"/>
    <w:rsid w:val="00710413"/>
    <w:rsid w:val="00710B71"/>
    <w:rsid w:val="00713043"/>
    <w:rsid w:val="00726F12"/>
    <w:rsid w:val="007316CB"/>
    <w:rsid w:val="00737555"/>
    <w:rsid w:val="00742F8F"/>
    <w:rsid w:val="00743A20"/>
    <w:rsid w:val="00745A6C"/>
    <w:rsid w:val="0074774E"/>
    <w:rsid w:val="00750378"/>
    <w:rsid w:val="007607F6"/>
    <w:rsid w:val="007637CB"/>
    <w:rsid w:val="00765611"/>
    <w:rsid w:val="00765FDE"/>
    <w:rsid w:val="007667EE"/>
    <w:rsid w:val="00775473"/>
    <w:rsid w:val="00781106"/>
    <w:rsid w:val="00781556"/>
    <w:rsid w:val="00786062"/>
    <w:rsid w:val="007911CC"/>
    <w:rsid w:val="007915AE"/>
    <w:rsid w:val="00792957"/>
    <w:rsid w:val="00792EC1"/>
    <w:rsid w:val="00795289"/>
    <w:rsid w:val="00797D70"/>
    <w:rsid w:val="007A2B11"/>
    <w:rsid w:val="007A4D8E"/>
    <w:rsid w:val="007A79F0"/>
    <w:rsid w:val="007B11BB"/>
    <w:rsid w:val="007B29AD"/>
    <w:rsid w:val="007B60F7"/>
    <w:rsid w:val="007B6425"/>
    <w:rsid w:val="007C1092"/>
    <w:rsid w:val="007C152C"/>
    <w:rsid w:val="007C6986"/>
    <w:rsid w:val="007D2595"/>
    <w:rsid w:val="007D2BC3"/>
    <w:rsid w:val="007D2D13"/>
    <w:rsid w:val="007D3BEB"/>
    <w:rsid w:val="007D3F37"/>
    <w:rsid w:val="007D79D9"/>
    <w:rsid w:val="007E2137"/>
    <w:rsid w:val="007E348C"/>
    <w:rsid w:val="007E40D3"/>
    <w:rsid w:val="007E4A6A"/>
    <w:rsid w:val="007E5B6B"/>
    <w:rsid w:val="0080014B"/>
    <w:rsid w:val="008039A7"/>
    <w:rsid w:val="0081043A"/>
    <w:rsid w:val="00816470"/>
    <w:rsid w:val="00817FC5"/>
    <w:rsid w:val="008246C7"/>
    <w:rsid w:val="008279F4"/>
    <w:rsid w:val="00836B04"/>
    <w:rsid w:val="00837A43"/>
    <w:rsid w:val="00840FED"/>
    <w:rsid w:val="00841319"/>
    <w:rsid w:val="0084247C"/>
    <w:rsid w:val="008523A8"/>
    <w:rsid w:val="008578EB"/>
    <w:rsid w:val="00860578"/>
    <w:rsid w:val="00861EF7"/>
    <w:rsid w:val="00863ED9"/>
    <w:rsid w:val="00864C37"/>
    <w:rsid w:val="00876146"/>
    <w:rsid w:val="008867E6"/>
    <w:rsid w:val="00887A9B"/>
    <w:rsid w:val="0089103A"/>
    <w:rsid w:val="00894705"/>
    <w:rsid w:val="008A5A27"/>
    <w:rsid w:val="008B138A"/>
    <w:rsid w:val="008B1D87"/>
    <w:rsid w:val="008B7221"/>
    <w:rsid w:val="008C7D4F"/>
    <w:rsid w:val="008D1996"/>
    <w:rsid w:val="008D3514"/>
    <w:rsid w:val="008D4E00"/>
    <w:rsid w:val="008D5002"/>
    <w:rsid w:val="008D7408"/>
    <w:rsid w:val="008E099D"/>
    <w:rsid w:val="008E1F95"/>
    <w:rsid w:val="008F3361"/>
    <w:rsid w:val="008F3B36"/>
    <w:rsid w:val="00901C7C"/>
    <w:rsid w:val="00902C05"/>
    <w:rsid w:val="00905394"/>
    <w:rsid w:val="00906B6D"/>
    <w:rsid w:val="00907C0A"/>
    <w:rsid w:val="0091173D"/>
    <w:rsid w:val="00912CD1"/>
    <w:rsid w:val="0091340E"/>
    <w:rsid w:val="00913A82"/>
    <w:rsid w:val="009155B2"/>
    <w:rsid w:val="009225FC"/>
    <w:rsid w:val="00930609"/>
    <w:rsid w:val="009309E6"/>
    <w:rsid w:val="009359A4"/>
    <w:rsid w:val="009364E7"/>
    <w:rsid w:val="009411F5"/>
    <w:rsid w:val="0094584F"/>
    <w:rsid w:val="0095780E"/>
    <w:rsid w:val="0096242C"/>
    <w:rsid w:val="009661B1"/>
    <w:rsid w:val="00966CE6"/>
    <w:rsid w:val="00971356"/>
    <w:rsid w:val="009748D3"/>
    <w:rsid w:val="00974EAF"/>
    <w:rsid w:val="00976563"/>
    <w:rsid w:val="0098195A"/>
    <w:rsid w:val="00986E82"/>
    <w:rsid w:val="009A025C"/>
    <w:rsid w:val="009A1313"/>
    <w:rsid w:val="009A2325"/>
    <w:rsid w:val="009A2E68"/>
    <w:rsid w:val="009A41C1"/>
    <w:rsid w:val="009A5283"/>
    <w:rsid w:val="009A6113"/>
    <w:rsid w:val="009B050F"/>
    <w:rsid w:val="009B2F6D"/>
    <w:rsid w:val="009B3535"/>
    <w:rsid w:val="009B5E01"/>
    <w:rsid w:val="009B66FC"/>
    <w:rsid w:val="009B7B4A"/>
    <w:rsid w:val="009C19A2"/>
    <w:rsid w:val="009C399C"/>
    <w:rsid w:val="009C3C4B"/>
    <w:rsid w:val="009D1C6B"/>
    <w:rsid w:val="009D3697"/>
    <w:rsid w:val="009E349A"/>
    <w:rsid w:val="009E7311"/>
    <w:rsid w:val="00A027F7"/>
    <w:rsid w:val="00A02EAD"/>
    <w:rsid w:val="00A07A74"/>
    <w:rsid w:val="00A112E4"/>
    <w:rsid w:val="00A120F4"/>
    <w:rsid w:val="00A129EB"/>
    <w:rsid w:val="00A20B84"/>
    <w:rsid w:val="00A20F56"/>
    <w:rsid w:val="00A25897"/>
    <w:rsid w:val="00A37567"/>
    <w:rsid w:val="00A40B68"/>
    <w:rsid w:val="00A45300"/>
    <w:rsid w:val="00A5429E"/>
    <w:rsid w:val="00A559AD"/>
    <w:rsid w:val="00A57576"/>
    <w:rsid w:val="00A60193"/>
    <w:rsid w:val="00A63EBB"/>
    <w:rsid w:val="00A64814"/>
    <w:rsid w:val="00A656C5"/>
    <w:rsid w:val="00A6674F"/>
    <w:rsid w:val="00A7179C"/>
    <w:rsid w:val="00A75B51"/>
    <w:rsid w:val="00A77B09"/>
    <w:rsid w:val="00A80A0B"/>
    <w:rsid w:val="00A83F60"/>
    <w:rsid w:val="00A868F5"/>
    <w:rsid w:val="00A92E11"/>
    <w:rsid w:val="00A945A2"/>
    <w:rsid w:val="00A94722"/>
    <w:rsid w:val="00A94EF2"/>
    <w:rsid w:val="00AA3DAC"/>
    <w:rsid w:val="00AA6259"/>
    <w:rsid w:val="00AB0478"/>
    <w:rsid w:val="00AB22F0"/>
    <w:rsid w:val="00AB2D2F"/>
    <w:rsid w:val="00AB525D"/>
    <w:rsid w:val="00AC28B9"/>
    <w:rsid w:val="00AC61A8"/>
    <w:rsid w:val="00AD09C8"/>
    <w:rsid w:val="00AD1EC4"/>
    <w:rsid w:val="00AD2113"/>
    <w:rsid w:val="00AD2329"/>
    <w:rsid w:val="00AD2DF7"/>
    <w:rsid w:val="00AD3684"/>
    <w:rsid w:val="00AD3AC2"/>
    <w:rsid w:val="00AE07A2"/>
    <w:rsid w:val="00AE189D"/>
    <w:rsid w:val="00AE1A1D"/>
    <w:rsid w:val="00AE30BD"/>
    <w:rsid w:val="00AE379D"/>
    <w:rsid w:val="00AE5680"/>
    <w:rsid w:val="00AF7CEE"/>
    <w:rsid w:val="00B0627D"/>
    <w:rsid w:val="00B06AF2"/>
    <w:rsid w:val="00B12245"/>
    <w:rsid w:val="00B148DA"/>
    <w:rsid w:val="00B166F0"/>
    <w:rsid w:val="00B16723"/>
    <w:rsid w:val="00B173CD"/>
    <w:rsid w:val="00B17A19"/>
    <w:rsid w:val="00B2009A"/>
    <w:rsid w:val="00B203AD"/>
    <w:rsid w:val="00B24F54"/>
    <w:rsid w:val="00B268AD"/>
    <w:rsid w:val="00B333D6"/>
    <w:rsid w:val="00B3395B"/>
    <w:rsid w:val="00B345CB"/>
    <w:rsid w:val="00B3685D"/>
    <w:rsid w:val="00B40776"/>
    <w:rsid w:val="00B45CD6"/>
    <w:rsid w:val="00B46973"/>
    <w:rsid w:val="00B5152C"/>
    <w:rsid w:val="00B56A3A"/>
    <w:rsid w:val="00B62B2C"/>
    <w:rsid w:val="00B63310"/>
    <w:rsid w:val="00B63C16"/>
    <w:rsid w:val="00B65BE8"/>
    <w:rsid w:val="00B72467"/>
    <w:rsid w:val="00B7585B"/>
    <w:rsid w:val="00B76D07"/>
    <w:rsid w:val="00B82075"/>
    <w:rsid w:val="00B8285D"/>
    <w:rsid w:val="00B86600"/>
    <w:rsid w:val="00B956D7"/>
    <w:rsid w:val="00B97D6A"/>
    <w:rsid w:val="00BA79F2"/>
    <w:rsid w:val="00BA7DBB"/>
    <w:rsid w:val="00BB122A"/>
    <w:rsid w:val="00BC0CB0"/>
    <w:rsid w:val="00BC52C0"/>
    <w:rsid w:val="00BC63BE"/>
    <w:rsid w:val="00BC7524"/>
    <w:rsid w:val="00BD4058"/>
    <w:rsid w:val="00BD5ADB"/>
    <w:rsid w:val="00BE09D1"/>
    <w:rsid w:val="00BE57BF"/>
    <w:rsid w:val="00BF21AB"/>
    <w:rsid w:val="00C0099C"/>
    <w:rsid w:val="00C026EA"/>
    <w:rsid w:val="00C1046B"/>
    <w:rsid w:val="00C16662"/>
    <w:rsid w:val="00C17448"/>
    <w:rsid w:val="00C17FCB"/>
    <w:rsid w:val="00C254AF"/>
    <w:rsid w:val="00C4173A"/>
    <w:rsid w:val="00C422B4"/>
    <w:rsid w:val="00C441D5"/>
    <w:rsid w:val="00C46344"/>
    <w:rsid w:val="00C532FF"/>
    <w:rsid w:val="00C53EAC"/>
    <w:rsid w:val="00C567CE"/>
    <w:rsid w:val="00C6072F"/>
    <w:rsid w:val="00C62AE0"/>
    <w:rsid w:val="00C651CC"/>
    <w:rsid w:val="00C77A9D"/>
    <w:rsid w:val="00C77E7E"/>
    <w:rsid w:val="00C8022C"/>
    <w:rsid w:val="00C90781"/>
    <w:rsid w:val="00C947CE"/>
    <w:rsid w:val="00C973C1"/>
    <w:rsid w:val="00C97618"/>
    <w:rsid w:val="00CA0C7A"/>
    <w:rsid w:val="00CB0CCC"/>
    <w:rsid w:val="00CB1256"/>
    <w:rsid w:val="00CB4A4C"/>
    <w:rsid w:val="00CB710A"/>
    <w:rsid w:val="00CC08FB"/>
    <w:rsid w:val="00CC1501"/>
    <w:rsid w:val="00CC4916"/>
    <w:rsid w:val="00CC5FCC"/>
    <w:rsid w:val="00CC7A39"/>
    <w:rsid w:val="00CD0005"/>
    <w:rsid w:val="00CD455E"/>
    <w:rsid w:val="00CD7567"/>
    <w:rsid w:val="00CE46AA"/>
    <w:rsid w:val="00CE7F96"/>
    <w:rsid w:val="00CE7FBB"/>
    <w:rsid w:val="00CF241A"/>
    <w:rsid w:val="00CF4F13"/>
    <w:rsid w:val="00D0471D"/>
    <w:rsid w:val="00D06E1D"/>
    <w:rsid w:val="00D113E4"/>
    <w:rsid w:val="00D13981"/>
    <w:rsid w:val="00D16BDF"/>
    <w:rsid w:val="00D20DA5"/>
    <w:rsid w:val="00D26091"/>
    <w:rsid w:val="00D27F66"/>
    <w:rsid w:val="00D31964"/>
    <w:rsid w:val="00D332EA"/>
    <w:rsid w:val="00D3356B"/>
    <w:rsid w:val="00D362D2"/>
    <w:rsid w:val="00D40B87"/>
    <w:rsid w:val="00D40CC8"/>
    <w:rsid w:val="00D41953"/>
    <w:rsid w:val="00D41D4D"/>
    <w:rsid w:val="00D43A48"/>
    <w:rsid w:val="00D446EE"/>
    <w:rsid w:val="00D518C0"/>
    <w:rsid w:val="00D554B5"/>
    <w:rsid w:val="00D61A71"/>
    <w:rsid w:val="00D66356"/>
    <w:rsid w:val="00D663C1"/>
    <w:rsid w:val="00D66F12"/>
    <w:rsid w:val="00D67AAE"/>
    <w:rsid w:val="00D72A08"/>
    <w:rsid w:val="00D73D6E"/>
    <w:rsid w:val="00D73DF4"/>
    <w:rsid w:val="00D80686"/>
    <w:rsid w:val="00D811DD"/>
    <w:rsid w:val="00D83003"/>
    <w:rsid w:val="00D831B1"/>
    <w:rsid w:val="00D85D11"/>
    <w:rsid w:val="00D96DAA"/>
    <w:rsid w:val="00DB101F"/>
    <w:rsid w:val="00DC0853"/>
    <w:rsid w:val="00DC228A"/>
    <w:rsid w:val="00DC3960"/>
    <w:rsid w:val="00DC3D80"/>
    <w:rsid w:val="00DC611C"/>
    <w:rsid w:val="00DD02DE"/>
    <w:rsid w:val="00DD31C8"/>
    <w:rsid w:val="00DE0371"/>
    <w:rsid w:val="00DE06FF"/>
    <w:rsid w:val="00DE1E8F"/>
    <w:rsid w:val="00DE4755"/>
    <w:rsid w:val="00DE641A"/>
    <w:rsid w:val="00DE6DE1"/>
    <w:rsid w:val="00DF3958"/>
    <w:rsid w:val="00DF3F16"/>
    <w:rsid w:val="00DF50A3"/>
    <w:rsid w:val="00DF560E"/>
    <w:rsid w:val="00E006AA"/>
    <w:rsid w:val="00E00A34"/>
    <w:rsid w:val="00E025E6"/>
    <w:rsid w:val="00E02F7A"/>
    <w:rsid w:val="00E15BA8"/>
    <w:rsid w:val="00E21D1A"/>
    <w:rsid w:val="00E339D7"/>
    <w:rsid w:val="00E35C5A"/>
    <w:rsid w:val="00E36A3C"/>
    <w:rsid w:val="00E378A5"/>
    <w:rsid w:val="00E40535"/>
    <w:rsid w:val="00E452B7"/>
    <w:rsid w:val="00E4758E"/>
    <w:rsid w:val="00E521C0"/>
    <w:rsid w:val="00E566C3"/>
    <w:rsid w:val="00E57BB9"/>
    <w:rsid w:val="00E60708"/>
    <w:rsid w:val="00E64651"/>
    <w:rsid w:val="00E651C0"/>
    <w:rsid w:val="00E67C55"/>
    <w:rsid w:val="00E7286F"/>
    <w:rsid w:val="00E73661"/>
    <w:rsid w:val="00E74105"/>
    <w:rsid w:val="00E74202"/>
    <w:rsid w:val="00E76BAD"/>
    <w:rsid w:val="00E7772A"/>
    <w:rsid w:val="00E81A5E"/>
    <w:rsid w:val="00E907C4"/>
    <w:rsid w:val="00E92BC7"/>
    <w:rsid w:val="00E956C7"/>
    <w:rsid w:val="00E95814"/>
    <w:rsid w:val="00E96EAE"/>
    <w:rsid w:val="00EA2491"/>
    <w:rsid w:val="00EA2AFE"/>
    <w:rsid w:val="00EB21EC"/>
    <w:rsid w:val="00EB2EB5"/>
    <w:rsid w:val="00ED395E"/>
    <w:rsid w:val="00ED475F"/>
    <w:rsid w:val="00ED6063"/>
    <w:rsid w:val="00EE1C48"/>
    <w:rsid w:val="00EE4B69"/>
    <w:rsid w:val="00EE613B"/>
    <w:rsid w:val="00EF0B6C"/>
    <w:rsid w:val="00EF15BB"/>
    <w:rsid w:val="00EF409F"/>
    <w:rsid w:val="00F00C93"/>
    <w:rsid w:val="00F03C79"/>
    <w:rsid w:val="00F070AA"/>
    <w:rsid w:val="00F07905"/>
    <w:rsid w:val="00F118F7"/>
    <w:rsid w:val="00F145D5"/>
    <w:rsid w:val="00F23706"/>
    <w:rsid w:val="00F30F49"/>
    <w:rsid w:val="00F33492"/>
    <w:rsid w:val="00F33F71"/>
    <w:rsid w:val="00F34EC0"/>
    <w:rsid w:val="00F37F9C"/>
    <w:rsid w:val="00F4451C"/>
    <w:rsid w:val="00F445C5"/>
    <w:rsid w:val="00F60417"/>
    <w:rsid w:val="00F64D98"/>
    <w:rsid w:val="00F66059"/>
    <w:rsid w:val="00F66230"/>
    <w:rsid w:val="00F668A5"/>
    <w:rsid w:val="00F82C50"/>
    <w:rsid w:val="00F8470D"/>
    <w:rsid w:val="00F8670D"/>
    <w:rsid w:val="00F86B18"/>
    <w:rsid w:val="00F87A65"/>
    <w:rsid w:val="00F90B89"/>
    <w:rsid w:val="00FA55EE"/>
    <w:rsid w:val="00FA6E4D"/>
    <w:rsid w:val="00FB294B"/>
    <w:rsid w:val="00FB53C6"/>
    <w:rsid w:val="00FB5C5B"/>
    <w:rsid w:val="00FC4CB4"/>
    <w:rsid w:val="00FC6D3E"/>
    <w:rsid w:val="00FD2BA7"/>
    <w:rsid w:val="00FD2F82"/>
    <w:rsid w:val="00FD3188"/>
    <w:rsid w:val="00FD70D0"/>
    <w:rsid w:val="00FE04E2"/>
    <w:rsid w:val="00FE3667"/>
    <w:rsid w:val="00FE53FE"/>
    <w:rsid w:val="00FE7C9B"/>
    <w:rsid w:val="00FF3031"/>
    <w:rsid w:val="00FF5763"/>
    <w:rsid w:val="00FF738E"/>
    <w:rsid w:val="00FF74E1"/>
    <w:rsid w:val="018A78AD"/>
    <w:rsid w:val="028A4B0A"/>
    <w:rsid w:val="02E74C25"/>
    <w:rsid w:val="041B1358"/>
    <w:rsid w:val="04520FDB"/>
    <w:rsid w:val="05E44CDA"/>
    <w:rsid w:val="06975F96"/>
    <w:rsid w:val="06C35BEF"/>
    <w:rsid w:val="07545D97"/>
    <w:rsid w:val="0757624F"/>
    <w:rsid w:val="07C76EE7"/>
    <w:rsid w:val="096B7D35"/>
    <w:rsid w:val="0A991E67"/>
    <w:rsid w:val="0BB85A44"/>
    <w:rsid w:val="0BEC11A0"/>
    <w:rsid w:val="0C137A54"/>
    <w:rsid w:val="0C156278"/>
    <w:rsid w:val="0C3014D1"/>
    <w:rsid w:val="0D5E6FF2"/>
    <w:rsid w:val="0E6D4CB0"/>
    <w:rsid w:val="0E7118DD"/>
    <w:rsid w:val="0EBF401B"/>
    <w:rsid w:val="0ECD5CC3"/>
    <w:rsid w:val="0EEC084F"/>
    <w:rsid w:val="0F74703A"/>
    <w:rsid w:val="0F9709AE"/>
    <w:rsid w:val="105F78B3"/>
    <w:rsid w:val="10C21203"/>
    <w:rsid w:val="11011F65"/>
    <w:rsid w:val="1168632F"/>
    <w:rsid w:val="123E24E6"/>
    <w:rsid w:val="12CA691E"/>
    <w:rsid w:val="13887C32"/>
    <w:rsid w:val="13AE714A"/>
    <w:rsid w:val="150604BB"/>
    <w:rsid w:val="151E174C"/>
    <w:rsid w:val="155747A1"/>
    <w:rsid w:val="15747BD5"/>
    <w:rsid w:val="16945503"/>
    <w:rsid w:val="18547065"/>
    <w:rsid w:val="1952509E"/>
    <w:rsid w:val="19FE166E"/>
    <w:rsid w:val="1C1B3581"/>
    <w:rsid w:val="1C3F6F4A"/>
    <w:rsid w:val="1C9D2195"/>
    <w:rsid w:val="1F3A3A54"/>
    <w:rsid w:val="204554A2"/>
    <w:rsid w:val="20B24556"/>
    <w:rsid w:val="210F7BDE"/>
    <w:rsid w:val="220B1B56"/>
    <w:rsid w:val="224D33ED"/>
    <w:rsid w:val="24EA41E8"/>
    <w:rsid w:val="2538727C"/>
    <w:rsid w:val="2577497F"/>
    <w:rsid w:val="285206C2"/>
    <w:rsid w:val="28666DBF"/>
    <w:rsid w:val="288F7180"/>
    <w:rsid w:val="292D22CA"/>
    <w:rsid w:val="299473E8"/>
    <w:rsid w:val="2A5123E7"/>
    <w:rsid w:val="2AE74BBA"/>
    <w:rsid w:val="2B3060D6"/>
    <w:rsid w:val="2BF36119"/>
    <w:rsid w:val="2C8B1B30"/>
    <w:rsid w:val="2D2A41DD"/>
    <w:rsid w:val="2D432C30"/>
    <w:rsid w:val="2D600F36"/>
    <w:rsid w:val="317D7082"/>
    <w:rsid w:val="32BF68D3"/>
    <w:rsid w:val="33D93713"/>
    <w:rsid w:val="33F354A6"/>
    <w:rsid w:val="34541023"/>
    <w:rsid w:val="34C435A5"/>
    <w:rsid w:val="35213BE5"/>
    <w:rsid w:val="35415D24"/>
    <w:rsid w:val="35446895"/>
    <w:rsid w:val="361A42D5"/>
    <w:rsid w:val="37EA3800"/>
    <w:rsid w:val="392E348B"/>
    <w:rsid w:val="39A41D0D"/>
    <w:rsid w:val="39EF68E8"/>
    <w:rsid w:val="3B990801"/>
    <w:rsid w:val="3D6B4250"/>
    <w:rsid w:val="3F887A58"/>
    <w:rsid w:val="3FDA21F6"/>
    <w:rsid w:val="419C5D43"/>
    <w:rsid w:val="42447D33"/>
    <w:rsid w:val="436C2C41"/>
    <w:rsid w:val="45131970"/>
    <w:rsid w:val="459626AA"/>
    <w:rsid w:val="45B76938"/>
    <w:rsid w:val="467F4DB3"/>
    <w:rsid w:val="486F67E4"/>
    <w:rsid w:val="48BB2506"/>
    <w:rsid w:val="4A746B40"/>
    <w:rsid w:val="4BAC5352"/>
    <w:rsid w:val="4C8F35C5"/>
    <w:rsid w:val="4CDE2FE6"/>
    <w:rsid w:val="4D895402"/>
    <w:rsid w:val="4E5B1E70"/>
    <w:rsid w:val="4FAC2956"/>
    <w:rsid w:val="4FFC2485"/>
    <w:rsid w:val="50172F88"/>
    <w:rsid w:val="50282335"/>
    <w:rsid w:val="50C24A0F"/>
    <w:rsid w:val="51FC6190"/>
    <w:rsid w:val="528645D1"/>
    <w:rsid w:val="52AA1F81"/>
    <w:rsid w:val="52F40578"/>
    <w:rsid w:val="5460697B"/>
    <w:rsid w:val="546244F5"/>
    <w:rsid w:val="54640153"/>
    <w:rsid w:val="54CA4256"/>
    <w:rsid w:val="58930943"/>
    <w:rsid w:val="58E756AA"/>
    <w:rsid w:val="58ED7A70"/>
    <w:rsid w:val="59454AC6"/>
    <w:rsid w:val="59D70720"/>
    <w:rsid w:val="5A054C64"/>
    <w:rsid w:val="5A434D89"/>
    <w:rsid w:val="5B1F0DE3"/>
    <w:rsid w:val="5B1F3C68"/>
    <w:rsid w:val="5B8B239D"/>
    <w:rsid w:val="5BC34C37"/>
    <w:rsid w:val="5C9B0E40"/>
    <w:rsid w:val="5CB90493"/>
    <w:rsid w:val="5D3B3138"/>
    <w:rsid w:val="5E3A1D40"/>
    <w:rsid w:val="5EAD5DED"/>
    <w:rsid w:val="5ECD661E"/>
    <w:rsid w:val="5F266D0F"/>
    <w:rsid w:val="607E15E4"/>
    <w:rsid w:val="60F9645B"/>
    <w:rsid w:val="64034AD2"/>
    <w:rsid w:val="64653937"/>
    <w:rsid w:val="64BB7C34"/>
    <w:rsid w:val="660C45AF"/>
    <w:rsid w:val="66E82CEE"/>
    <w:rsid w:val="66F159F1"/>
    <w:rsid w:val="672F7A08"/>
    <w:rsid w:val="69730339"/>
    <w:rsid w:val="6A351357"/>
    <w:rsid w:val="6B7E7EE5"/>
    <w:rsid w:val="6B97384E"/>
    <w:rsid w:val="6EBA7BE5"/>
    <w:rsid w:val="70005897"/>
    <w:rsid w:val="73C656B7"/>
    <w:rsid w:val="742A4DEC"/>
    <w:rsid w:val="74480CCC"/>
    <w:rsid w:val="754834E3"/>
    <w:rsid w:val="75A7324B"/>
    <w:rsid w:val="7649437C"/>
    <w:rsid w:val="77906DB4"/>
    <w:rsid w:val="784778F2"/>
    <w:rsid w:val="790B682A"/>
    <w:rsid w:val="792926E7"/>
    <w:rsid w:val="79303F4E"/>
    <w:rsid w:val="796E0FD7"/>
    <w:rsid w:val="79AD71AF"/>
    <w:rsid w:val="7A2E532E"/>
    <w:rsid w:val="7B08535B"/>
    <w:rsid w:val="7B0A1671"/>
    <w:rsid w:val="7B557D9F"/>
    <w:rsid w:val="7BA7734D"/>
    <w:rsid w:val="7D846E60"/>
    <w:rsid w:val="7DA376E7"/>
    <w:rsid w:val="7DEA6D33"/>
    <w:rsid w:val="7EB33FC6"/>
    <w:rsid w:val="7F0D2729"/>
    <w:rsid w:val="7F182E56"/>
    <w:rsid w:val="7FF91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2"/>
    <w:qFormat/>
    <w:uiPriority w:val="0"/>
    <w:pPr>
      <w:keepNext/>
      <w:keepLines/>
      <w:adjustRightInd w:val="0"/>
      <w:spacing w:line="360" w:lineRule="auto"/>
      <w:textAlignment w:val="baseline"/>
      <w:outlineLvl w:val="0"/>
    </w:pPr>
    <w:rPr>
      <w:rFonts w:ascii="Times New Roman" w:hAnsi="Times New Roman" w:eastAsia="宋体" w:cs="Times New Roman"/>
      <w:b/>
      <w:bCs/>
      <w:kern w:val="44"/>
      <w:sz w:val="24"/>
      <w:szCs w:val="44"/>
    </w:rPr>
  </w:style>
  <w:style w:type="paragraph" w:styleId="4">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0"/>
    <w:pPr>
      <w:keepNext/>
      <w:keepLines/>
      <w:spacing w:before="260" w:after="260" w:line="413" w:lineRule="auto"/>
      <w:outlineLvl w:val="2"/>
    </w:pPr>
    <w:rPr>
      <w:rFonts w:ascii="Times New Roman" w:hAnsi="Times New Roman" w:eastAsia="宋体" w:cs="Times New Roman"/>
      <w:bCs/>
      <w:kern w:val="2"/>
      <w:sz w:val="32"/>
      <w:szCs w:val="32"/>
      <w:lang w:val="en-US" w:eastAsia="zh-CN" w:bidi="ar-SA"/>
    </w:rPr>
  </w:style>
  <w:style w:type="paragraph" w:styleId="6">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36"/>
    <w:unhideWhenUsed/>
    <w:qFormat/>
    <w:uiPriority w:val="99"/>
    <w:pPr>
      <w:spacing w:after="120"/>
    </w:pPr>
  </w:style>
  <w:style w:type="paragraph" w:styleId="7">
    <w:name w:val="Normal Indent"/>
    <w:basedOn w:val="1"/>
    <w:link w:val="40"/>
    <w:unhideWhenUsed/>
    <w:qFormat/>
    <w:uiPriority w:val="0"/>
    <w:pPr>
      <w:ind w:firstLine="420" w:firstLineChars="200"/>
    </w:pPr>
    <w:rPr>
      <w:rFonts w:ascii="Times New Roman" w:hAnsi="Times New Roman" w:eastAsia="宋体" w:cs="Times New Roman"/>
      <w:kern w:val="0"/>
      <w:szCs w:val="24"/>
    </w:rPr>
  </w:style>
  <w:style w:type="paragraph" w:styleId="8">
    <w:name w:val="annotation text"/>
    <w:basedOn w:val="1"/>
    <w:link w:val="50"/>
    <w:unhideWhenUsed/>
    <w:qFormat/>
    <w:uiPriority w:val="99"/>
    <w:pPr>
      <w:jc w:val="left"/>
    </w:pPr>
  </w:style>
  <w:style w:type="paragraph" w:styleId="9">
    <w:name w:val="Body Text Indent"/>
    <w:basedOn w:val="1"/>
    <w:next w:val="1"/>
    <w:link w:val="46"/>
    <w:unhideWhenUsed/>
    <w:qFormat/>
    <w:uiPriority w:val="99"/>
    <w:pPr>
      <w:spacing w:after="120"/>
      <w:ind w:left="420" w:leftChars="200"/>
    </w:pPr>
  </w:style>
  <w:style w:type="paragraph" w:styleId="10">
    <w:name w:val="Block Text"/>
    <w:basedOn w:val="1"/>
    <w:next w:val="1"/>
    <w:qFormat/>
    <w:uiPriority w:val="0"/>
    <w:pPr>
      <w:spacing w:after="120"/>
      <w:ind w:left="1440" w:leftChars="700" w:right="1440" w:rightChars="700"/>
    </w:pPr>
  </w:style>
  <w:style w:type="paragraph" w:styleId="11">
    <w:name w:val="Plain Text"/>
    <w:basedOn w:val="1"/>
    <w:next w:val="1"/>
    <w:link w:val="38"/>
    <w:unhideWhenUsed/>
    <w:qFormat/>
    <w:uiPriority w:val="99"/>
    <w:rPr>
      <w:rFonts w:hAnsi="Courier New" w:cs="Courier New" w:asciiTheme="minorEastAsia"/>
    </w:rPr>
  </w:style>
  <w:style w:type="paragraph" w:styleId="12">
    <w:name w:val="Body Text Indent 2"/>
    <w:basedOn w:val="1"/>
    <w:qFormat/>
    <w:uiPriority w:val="0"/>
    <w:pPr>
      <w:spacing w:after="120" w:line="480" w:lineRule="auto"/>
      <w:ind w:left="420" w:leftChars="200"/>
    </w:pPr>
  </w:style>
  <w:style w:type="paragraph" w:styleId="13">
    <w:name w:val="footer"/>
    <w:basedOn w:val="1"/>
    <w:link w:val="43"/>
    <w:unhideWhenUsed/>
    <w:qFormat/>
    <w:uiPriority w:val="99"/>
    <w:pPr>
      <w:tabs>
        <w:tab w:val="center" w:pos="4153"/>
        <w:tab w:val="right" w:pos="8306"/>
      </w:tabs>
      <w:snapToGrid w:val="0"/>
      <w:jc w:val="left"/>
    </w:pPr>
    <w:rPr>
      <w:sz w:val="18"/>
      <w:szCs w:val="18"/>
    </w:rPr>
  </w:style>
  <w:style w:type="paragraph" w:styleId="14">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Normal (Web)"/>
    <w:basedOn w:val="1"/>
    <w:link w:val="31"/>
    <w:qFormat/>
    <w:uiPriority w:val="99"/>
    <w:pPr>
      <w:widowControl/>
      <w:spacing w:before="100" w:beforeAutospacing="1" w:after="100" w:afterAutospacing="1"/>
      <w:jc w:val="left"/>
    </w:pPr>
    <w:rPr>
      <w:rFonts w:ascii="宋体" w:hAnsi="宋体"/>
      <w:sz w:val="24"/>
    </w:rPr>
  </w:style>
  <w:style w:type="paragraph" w:styleId="17">
    <w:name w:val="Title"/>
    <w:basedOn w:val="1"/>
    <w:next w:val="1"/>
    <w:qFormat/>
    <w:uiPriority w:val="0"/>
    <w:pPr>
      <w:jc w:val="center"/>
      <w:outlineLvl w:val="0"/>
    </w:pPr>
    <w:rPr>
      <w:rFonts w:ascii="Arial" w:hAnsi="Arial" w:cs="Arial"/>
      <w:b/>
      <w:bCs/>
      <w:sz w:val="32"/>
      <w:szCs w:val="32"/>
    </w:rPr>
  </w:style>
  <w:style w:type="paragraph" w:styleId="18">
    <w:name w:val="annotation subject"/>
    <w:basedOn w:val="8"/>
    <w:next w:val="8"/>
    <w:link w:val="51"/>
    <w:unhideWhenUsed/>
    <w:qFormat/>
    <w:uiPriority w:val="99"/>
    <w:rPr>
      <w:b/>
      <w:bCs/>
    </w:rPr>
  </w:style>
  <w:style w:type="paragraph" w:styleId="19">
    <w:name w:val="Body Text First Indent"/>
    <w:basedOn w:val="2"/>
    <w:next w:val="20"/>
    <w:link w:val="37"/>
    <w:qFormat/>
    <w:uiPriority w:val="0"/>
    <w:pPr>
      <w:adjustRightInd w:val="0"/>
      <w:spacing w:line="312" w:lineRule="atLeast"/>
      <w:ind w:firstLine="420" w:firstLineChars="100"/>
      <w:textAlignment w:val="baseline"/>
    </w:pPr>
    <w:rPr>
      <w:rFonts w:ascii="Times New Roman" w:hAnsi="Times New Roman" w:eastAsia="宋体" w:cs="Times New Roman"/>
      <w:kern w:val="0"/>
      <w:szCs w:val="20"/>
    </w:rPr>
  </w:style>
  <w:style w:type="paragraph" w:customStyle="1" w:styleId="20">
    <w:name w:val="正文文字（首行缩进2字）"/>
    <w:basedOn w:val="1"/>
    <w:qFormat/>
    <w:uiPriority w:val="0"/>
    <w:pPr>
      <w:adjustRightInd w:val="0"/>
      <w:spacing w:line="360" w:lineRule="auto"/>
      <w:ind w:firstLine="200" w:firstLineChars="200"/>
      <w:textAlignment w:val="baseline"/>
    </w:pPr>
    <w:rPr>
      <w:rFonts w:ascii="Arial" w:hAnsi="Arial" w:eastAsia="宋体" w:cs="Times New Roman"/>
      <w:kern w:val="0"/>
      <w:position w:val="-30"/>
      <w:sz w:val="24"/>
      <w:szCs w:val="20"/>
    </w:rPr>
  </w:style>
  <w:style w:type="paragraph" w:styleId="21">
    <w:name w:val="Body Text First Indent 2"/>
    <w:basedOn w:val="9"/>
    <w:next w:val="22"/>
    <w:link w:val="47"/>
    <w:unhideWhenUsed/>
    <w:qFormat/>
    <w:uiPriority w:val="99"/>
    <w:pPr>
      <w:ind w:firstLine="420" w:firstLineChars="200"/>
    </w:pPr>
  </w:style>
  <w:style w:type="paragraph" w:customStyle="1" w:styleId="22">
    <w:name w:val="Default"/>
    <w:basedOn w:val="23"/>
    <w:next w:val="11"/>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2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rPr>
      <w:rFonts w:cs="Times New Roman"/>
    </w:rPr>
  </w:style>
  <w:style w:type="character" w:styleId="28">
    <w:name w:val="annotation reference"/>
    <w:basedOn w:val="26"/>
    <w:unhideWhenUsed/>
    <w:qFormat/>
    <w:uiPriority w:val="99"/>
    <w:rPr>
      <w:sz w:val="21"/>
      <w:szCs w:val="21"/>
    </w:rPr>
  </w:style>
  <w:style w:type="character" w:customStyle="1" w:styleId="29">
    <w:name w:val="标题 4 字符"/>
    <w:basedOn w:val="26"/>
    <w:link w:val="6"/>
    <w:semiHidden/>
    <w:qFormat/>
    <w:uiPriority w:val="9"/>
    <w:rPr>
      <w:rFonts w:asciiTheme="majorHAnsi" w:hAnsiTheme="majorHAnsi" w:eastAsiaTheme="majorEastAsia" w:cstheme="majorBidi"/>
      <w:b/>
      <w:bCs/>
      <w:sz w:val="28"/>
      <w:szCs w:val="28"/>
    </w:rPr>
  </w:style>
  <w:style w:type="paragraph" w:customStyle="1" w:styleId="30">
    <w:name w:val="引文目录1"/>
    <w:basedOn w:val="1"/>
    <w:next w:val="1"/>
    <w:qFormat/>
    <w:uiPriority w:val="0"/>
    <w:pPr>
      <w:widowControl w:val="0"/>
      <w:spacing w:beforeLines="0" w:afterLines="0"/>
      <w:ind w:left="420" w:leftChars="200" w:right="0"/>
      <w:jc w:val="both"/>
    </w:pPr>
    <w:rPr>
      <w:rFonts w:ascii="Calibri" w:hAnsi="Calibri" w:eastAsia="宋体" w:cs="Times New Roman"/>
      <w:kern w:val="2"/>
      <w:sz w:val="32"/>
      <w:szCs w:val="32"/>
      <w:lang w:val="en-US" w:eastAsia="zh-CN"/>
    </w:rPr>
  </w:style>
  <w:style w:type="character" w:customStyle="1" w:styleId="31">
    <w:name w:val="普通(网站) 字符"/>
    <w:link w:val="16"/>
    <w:qFormat/>
    <w:locked/>
    <w:uiPriority w:val="0"/>
    <w:rPr>
      <w:rFonts w:ascii="宋体" w:hAnsi="宋体"/>
      <w:sz w:val="24"/>
    </w:rPr>
  </w:style>
  <w:style w:type="character" w:customStyle="1" w:styleId="32">
    <w:name w:val="标题 1 字符"/>
    <w:basedOn w:val="26"/>
    <w:link w:val="3"/>
    <w:qFormat/>
    <w:uiPriority w:val="0"/>
    <w:rPr>
      <w:rFonts w:ascii="Times New Roman" w:hAnsi="Times New Roman" w:eastAsia="宋体" w:cs="Times New Roman"/>
      <w:b/>
      <w:bCs/>
      <w:kern w:val="44"/>
      <w:sz w:val="24"/>
      <w:szCs w:val="44"/>
    </w:rPr>
  </w:style>
  <w:style w:type="paragraph" w:customStyle="1" w:styleId="33">
    <w:name w:val="List Paragraph"/>
    <w:basedOn w:val="1"/>
    <w:qFormat/>
    <w:uiPriority w:val="34"/>
    <w:pPr>
      <w:ind w:firstLine="420" w:firstLineChars="200"/>
    </w:pPr>
  </w:style>
  <w:style w:type="character" w:customStyle="1" w:styleId="34">
    <w:name w:val="标题 2 字符"/>
    <w:basedOn w:val="26"/>
    <w:link w:val="4"/>
    <w:semiHidden/>
    <w:qFormat/>
    <w:uiPriority w:val="9"/>
    <w:rPr>
      <w:rFonts w:asciiTheme="majorHAnsi" w:hAnsiTheme="majorHAnsi" w:eastAsiaTheme="majorEastAsia" w:cstheme="majorBidi"/>
      <w:b/>
      <w:bCs/>
      <w:sz w:val="32"/>
      <w:szCs w:val="32"/>
    </w:rPr>
  </w:style>
  <w:style w:type="paragraph" w:customStyle="1" w:styleId="35">
    <w:name w:val="表格"/>
    <w:basedOn w:val="11"/>
    <w:next w:val="1"/>
    <w:link w:val="39"/>
    <w:qFormat/>
    <w:uiPriority w:val="0"/>
    <w:pPr>
      <w:spacing w:line="360" w:lineRule="auto"/>
      <w:jc w:val="center"/>
    </w:pPr>
    <w:rPr>
      <w:rFonts w:ascii="宋体" w:eastAsia="Times New Roman" w:cs="Times New Roman"/>
      <w:b/>
      <w:bCs/>
      <w:szCs w:val="21"/>
    </w:rPr>
  </w:style>
  <w:style w:type="character" w:customStyle="1" w:styleId="36">
    <w:name w:val="正文文本 字符"/>
    <w:basedOn w:val="26"/>
    <w:link w:val="2"/>
    <w:qFormat/>
    <w:uiPriority w:val="99"/>
  </w:style>
  <w:style w:type="character" w:customStyle="1" w:styleId="37">
    <w:name w:val="正文首行缩进 字符"/>
    <w:basedOn w:val="36"/>
    <w:link w:val="19"/>
    <w:qFormat/>
    <w:uiPriority w:val="0"/>
    <w:rPr>
      <w:rFonts w:ascii="Times New Roman" w:hAnsi="Times New Roman" w:eastAsia="宋体" w:cs="Times New Roman"/>
      <w:kern w:val="0"/>
      <w:szCs w:val="20"/>
    </w:rPr>
  </w:style>
  <w:style w:type="character" w:customStyle="1" w:styleId="38">
    <w:name w:val="纯文本 字符"/>
    <w:basedOn w:val="26"/>
    <w:link w:val="11"/>
    <w:semiHidden/>
    <w:qFormat/>
    <w:uiPriority w:val="99"/>
    <w:rPr>
      <w:rFonts w:hAnsi="Courier New" w:cs="Courier New" w:asciiTheme="minorEastAsia"/>
    </w:rPr>
  </w:style>
  <w:style w:type="character" w:customStyle="1" w:styleId="39">
    <w:name w:val="表格 Char"/>
    <w:link w:val="35"/>
    <w:qFormat/>
    <w:locked/>
    <w:uiPriority w:val="0"/>
    <w:rPr>
      <w:rFonts w:ascii="宋体" w:hAnsi="Courier New" w:eastAsia="Times New Roman" w:cs="Times New Roman"/>
      <w:b/>
      <w:bCs/>
      <w:szCs w:val="21"/>
    </w:rPr>
  </w:style>
  <w:style w:type="character" w:customStyle="1" w:styleId="40">
    <w:name w:val="正文缩进 字符"/>
    <w:link w:val="7"/>
    <w:qFormat/>
    <w:uiPriority w:val="0"/>
    <w:rPr>
      <w:rFonts w:ascii="Times New Roman" w:hAnsi="Times New Roman" w:eastAsia="宋体" w:cs="Times New Roman"/>
      <w:kern w:val="0"/>
      <w:szCs w:val="24"/>
    </w:rPr>
  </w:style>
  <w:style w:type="paragraph" w:customStyle="1" w:styleId="41">
    <w:name w:val="Table Paragraph"/>
    <w:basedOn w:val="1"/>
    <w:qFormat/>
    <w:uiPriority w:val="1"/>
    <w:pPr>
      <w:autoSpaceDE w:val="0"/>
      <w:autoSpaceDN w:val="0"/>
      <w:adjustRightInd w:val="0"/>
      <w:jc w:val="left"/>
    </w:pPr>
    <w:rPr>
      <w:rFonts w:ascii="Times New Roman" w:hAnsi="Times New Roman" w:eastAsia="等线" w:cs="Times New Roman"/>
      <w:kern w:val="0"/>
      <w:sz w:val="24"/>
      <w:szCs w:val="24"/>
    </w:rPr>
  </w:style>
  <w:style w:type="character" w:customStyle="1" w:styleId="42">
    <w:name w:val="页眉 字符"/>
    <w:basedOn w:val="26"/>
    <w:link w:val="14"/>
    <w:qFormat/>
    <w:uiPriority w:val="99"/>
    <w:rPr>
      <w:sz w:val="18"/>
      <w:szCs w:val="18"/>
    </w:rPr>
  </w:style>
  <w:style w:type="character" w:customStyle="1" w:styleId="43">
    <w:name w:val="页脚 字符"/>
    <w:basedOn w:val="26"/>
    <w:link w:val="13"/>
    <w:qFormat/>
    <w:uiPriority w:val="99"/>
    <w:rPr>
      <w:sz w:val="18"/>
      <w:szCs w:val="18"/>
    </w:rPr>
  </w:style>
  <w:style w:type="character" w:customStyle="1" w:styleId="44">
    <w:name w:val="Placeholder Text"/>
    <w:basedOn w:val="26"/>
    <w:semiHidden/>
    <w:qFormat/>
    <w:uiPriority w:val="99"/>
    <w:rPr>
      <w:color w:val="808080"/>
    </w:rPr>
  </w:style>
  <w:style w:type="table" w:customStyle="1" w:styleId="45">
    <w:name w:val="Table Normal"/>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46">
    <w:name w:val="正文文本缩进 字符"/>
    <w:basedOn w:val="26"/>
    <w:link w:val="9"/>
    <w:semiHidden/>
    <w:qFormat/>
    <w:uiPriority w:val="99"/>
  </w:style>
  <w:style w:type="character" w:customStyle="1" w:styleId="47">
    <w:name w:val="正文首行缩进 2 字符"/>
    <w:basedOn w:val="46"/>
    <w:link w:val="21"/>
    <w:semiHidden/>
    <w:qFormat/>
    <w:uiPriority w:val="99"/>
  </w:style>
  <w:style w:type="paragraph" w:customStyle="1" w:styleId="48">
    <w:name w:val="表"/>
    <w:basedOn w:val="1"/>
    <w:qFormat/>
    <w:uiPriority w:val="0"/>
    <w:pPr>
      <w:keepNext/>
      <w:keepLines/>
      <w:autoSpaceDE w:val="0"/>
      <w:autoSpaceDN w:val="0"/>
      <w:adjustRightInd w:val="0"/>
      <w:spacing w:before="40" w:after="40" w:line="240" w:lineRule="exact"/>
      <w:jc w:val="center"/>
      <w:textAlignment w:val="baseline"/>
    </w:pPr>
    <w:rPr>
      <w:rFonts w:ascii="Times New Roman" w:hAnsi="Times New Roman" w:eastAsia="宋体" w:cs="Times New Roman"/>
      <w:kern w:val="21"/>
      <w:szCs w:val="20"/>
    </w:rPr>
  </w:style>
  <w:style w:type="paragraph" w:customStyle="1" w:styleId="49">
    <w:name w:val="正文_7"/>
    <w:qFormat/>
    <w:uiPriority w:val="0"/>
    <w:pPr>
      <w:widowControl w:val="0"/>
      <w:jc w:val="both"/>
    </w:pPr>
    <w:rPr>
      <w:rFonts w:ascii="Calibri" w:hAnsi="Calibri" w:eastAsia="宋体" w:cs="Times New Roman"/>
      <w:kern w:val="2"/>
      <w:sz w:val="21"/>
      <w:szCs w:val="20"/>
      <w:lang w:val="en-US" w:eastAsia="zh-CN" w:bidi="ar-SA"/>
    </w:rPr>
  </w:style>
  <w:style w:type="character" w:customStyle="1" w:styleId="50">
    <w:name w:val="批注文字 字符"/>
    <w:basedOn w:val="26"/>
    <w:link w:val="8"/>
    <w:semiHidden/>
    <w:qFormat/>
    <w:uiPriority w:val="99"/>
  </w:style>
  <w:style w:type="character" w:customStyle="1" w:styleId="51">
    <w:name w:val="批注主题 字符"/>
    <w:basedOn w:val="50"/>
    <w:link w:val="18"/>
    <w:semiHidden/>
    <w:qFormat/>
    <w:uiPriority w:val="99"/>
    <w:rPr>
      <w:b/>
      <w:bCs/>
    </w:rPr>
  </w:style>
  <w:style w:type="paragraph" w:customStyle="1" w:styleId="52">
    <w:name w:val="表格文字"/>
    <w:basedOn w:val="1"/>
    <w:next w:val="1"/>
    <w:qFormat/>
    <w:uiPriority w:val="0"/>
    <w:pPr>
      <w:spacing w:line="480" w:lineRule="exact"/>
      <w:ind w:firstLine="720" w:firstLineChars="200"/>
      <w:jc w:val="center"/>
    </w:pPr>
    <w:rPr>
      <w:rFonts w:ascii="Calibri" w:hAnsi="Calibri" w:eastAsia="宋体" w:cs="Times New Roman"/>
      <w:szCs w:val="21"/>
    </w:rPr>
  </w:style>
  <w:style w:type="paragraph" w:customStyle="1" w:styleId="53">
    <w:name w:val="表中"/>
    <w:basedOn w:val="1"/>
    <w:qFormat/>
    <w:uiPriority w:val="0"/>
    <w:pPr>
      <w:jc w:val="center"/>
    </w:pPr>
    <w:rPr>
      <w:rFonts w:ascii="Times New Roman" w:hAnsi="Times New Roman" w:eastAsia="宋体" w:cs="Times New Roman"/>
      <w:szCs w:val="21"/>
      <w:lang w:val="de-DE"/>
    </w:rPr>
  </w:style>
  <w:style w:type="paragraph" w:customStyle="1" w:styleId="54">
    <w:name w:val="表格首行"/>
    <w:basedOn w:val="1"/>
    <w:next w:val="1"/>
    <w:qFormat/>
    <w:uiPriority w:val="0"/>
    <w:pPr>
      <w:widowControl/>
      <w:jc w:val="center"/>
    </w:pPr>
    <w:rPr>
      <w:rFonts w:ascii="Times New Roman" w:hAnsi="Times New Roman" w:eastAsia="仿宋" w:cs="Times New Roman"/>
      <w:b/>
      <w:bCs/>
      <w:szCs w:val="21"/>
    </w:rPr>
  </w:style>
  <w:style w:type="paragraph" w:customStyle="1" w:styleId="55">
    <w:name w:val="！正文样式"/>
    <w:basedOn w:val="1"/>
    <w:qFormat/>
    <w:uiPriority w:val="0"/>
    <w:pPr>
      <w:spacing w:beforeLines="50" w:afterLines="50"/>
      <w:ind w:firstLine="200" w:firstLineChars="200"/>
    </w:pPr>
    <w:rPr>
      <w:kern w:val="2"/>
      <w:szCs w:val="24"/>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NUL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2.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31D5E6-A5C9-497A-96C6-E68DD7AE29E7}">
  <ds:schemaRefs/>
</ds:datastoreItem>
</file>

<file path=docProps/app.xml><?xml version="1.0" encoding="utf-8"?>
<Properties xmlns="http://schemas.openxmlformats.org/officeDocument/2006/extended-properties" xmlns:vt="http://schemas.openxmlformats.org/officeDocument/2006/docPropsVTypes">
  <Template>Normal</Template>
  <Pages>70</Pages>
  <Words>33380</Words>
  <Characters>38163</Characters>
  <Lines>362</Lines>
  <Paragraphs>102</Paragraphs>
  <TotalTime>24</TotalTime>
  <ScaleCrop>false</ScaleCrop>
  <LinksUpToDate>false</LinksUpToDate>
  <CharactersWithSpaces>38553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2022-01-24T07:37:00Z</dcterms:created>
  <dc:creator>zlcthp</dc:creator>
  <cp:lastModifiedBy>左</cp:lastModifiedBy>
  <dcterms:modified xsi:type="dcterms:W3CDTF">2023-01-12T10:02:12Z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8B4B8CED15014B50B51B1E4EE23B7EF5</vt:lpwstr>
  </property>
</Properties>
</file>