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华文仿宋" w:hAnsi="华文仿宋" w:eastAsia="华文仿宋" w:cs="华文仿宋"/>
          <w:color w:val="auto"/>
          <w:kern w:val="44"/>
          <w:sz w:val="40"/>
          <w:szCs w:val="40"/>
          <w:highlight w:val="none"/>
          <w:lang w:eastAsia="zh-CN"/>
        </w:rPr>
      </w:pPr>
      <w:r>
        <w:rPr>
          <w:rFonts w:hint="eastAsia" w:ascii="华文仿宋" w:hAnsi="华文仿宋" w:eastAsia="华文仿宋" w:cs="华文仿宋"/>
          <w:color w:val="auto"/>
          <w:kern w:val="44"/>
          <w:sz w:val="40"/>
          <w:szCs w:val="40"/>
          <w:highlight w:val="none"/>
          <w:lang w:eastAsia="zh-CN"/>
        </w:rPr>
        <w:t>（污染影响类）</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eastAsia="仿宋"/>
          <w:color w:val="auto"/>
          <w:sz w:val="40"/>
          <w:szCs w:val="40"/>
          <w:highlight w:val="none"/>
          <w:lang w:val="en-US" w:eastAsia="zh-CN"/>
        </w:rPr>
      </w:pPr>
      <w:r>
        <w:rPr>
          <w:rFonts w:hint="eastAsia" w:eastAsia="仿宋"/>
          <w:color w:val="auto"/>
          <w:sz w:val="40"/>
          <w:szCs w:val="40"/>
          <w:highlight w:val="none"/>
          <w:lang w:val="en-US" w:eastAsia="zh-CN"/>
        </w:rPr>
        <w:t>公示本</w:t>
      </w:r>
    </w:p>
    <w:p>
      <w:pPr>
        <w:ind w:firstLine="1040"/>
        <w:rPr>
          <w:rFonts w:eastAsia="仿宋"/>
          <w:color w:val="auto"/>
          <w:sz w:val="44"/>
          <w:szCs w:val="44"/>
          <w:highlight w:val="none"/>
        </w:rPr>
      </w:pPr>
    </w:p>
    <w:p>
      <w:pPr>
        <w:ind w:firstLine="1040"/>
        <w:rPr>
          <w:rFonts w:eastAsia="仿宋"/>
          <w:color w:val="auto"/>
          <w:sz w:val="44"/>
          <w:szCs w:val="44"/>
          <w:highlight w:val="none"/>
        </w:rPr>
      </w:pPr>
    </w:p>
    <w:p>
      <w:pPr>
        <w:pStyle w:val="10"/>
        <w:rPr>
          <w:rFonts w:eastAsia="仿宋"/>
          <w:color w:val="auto"/>
          <w:sz w:val="44"/>
          <w:szCs w:val="44"/>
          <w:highlight w:val="none"/>
        </w:rPr>
      </w:pPr>
    </w:p>
    <w:p>
      <w:pPr>
        <w:rPr>
          <w:rFonts w:eastAsia="仿宋"/>
          <w:color w:val="auto"/>
          <w:sz w:val="44"/>
          <w:szCs w:val="44"/>
          <w:highlight w:val="none"/>
        </w:rPr>
      </w:pPr>
    </w:p>
    <w:p>
      <w:pPr>
        <w:pStyle w:val="10"/>
        <w:rPr>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2340" w:leftChars="200" w:hanging="1920" w:hangingChars="600"/>
        <w:textAlignment w:val="auto"/>
        <w:rPr>
          <w:rFonts w:hint="default" w:ascii="仿宋_GB2312" w:eastAsia="仿宋_GB2312"/>
          <w:color w:val="auto"/>
          <w:sz w:val="32"/>
          <w:szCs w:val="32"/>
          <w:highlight w:val="none"/>
          <w:u w:val="single"/>
          <w:lang w:val="en-US" w:eastAsia="zh-CN"/>
        </w:rPr>
      </w:pPr>
      <w:r>
        <w:rPr>
          <w:rFonts w:hint="eastAsia" w:ascii="仿宋_GB2312" w:eastAsia="仿宋_GB2312"/>
          <w:color w:val="auto"/>
          <w:sz w:val="32"/>
          <w:szCs w:val="32"/>
          <w:highlight w:val="none"/>
        </w:rPr>
        <w:t xml:space="preserve">项目名称： </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u w:val="single"/>
          <w:lang w:val="en-US" w:eastAsia="zh-CN"/>
        </w:rPr>
        <w:t xml:space="preserve">         </w:t>
      </w:r>
      <w:r>
        <w:rPr>
          <w:rFonts w:hint="eastAsia" w:ascii="仿宋_GB2312" w:eastAsia="仿宋_GB2312"/>
          <w:color w:val="auto"/>
          <w:sz w:val="32"/>
          <w:szCs w:val="32"/>
          <w:highlight w:val="none"/>
          <w:u w:val="single"/>
          <w:lang w:eastAsia="zh-CN"/>
        </w:rPr>
        <w:t>繁峙县</w:t>
      </w:r>
      <w:r>
        <w:rPr>
          <w:rFonts w:hint="eastAsia" w:ascii="仿宋_GB2312" w:eastAsia="仿宋_GB2312"/>
          <w:color w:val="auto"/>
          <w:sz w:val="32"/>
          <w:szCs w:val="32"/>
          <w:highlight w:val="none"/>
          <w:u w:val="single"/>
          <w:lang w:val="en-US" w:eastAsia="zh-CN"/>
        </w:rPr>
        <w:t>新安</w:t>
      </w:r>
      <w:r>
        <w:rPr>
          <w:rFonts w:hint="eastAsia" w:ascii="仿宋_GB2312" w:eastAsia="仿宋_GB2312"/>
          <w:color w:val="auto"/>
          <w:sz w:val="32"/>
          <w:szCs w:val="32"/>
          <w:highlight w:val="none"/>
          <w:u w:val="single"/>
          <w:lang w:eastAsia="zh-CN"/>
        </w:rPr>
        <w:t>建材</w:t>
      </w:r>
      <w:r>
        <w:rPr>
          <w:rFonts w:hint="eastAsia" w:ascii="仿宋_GB2312" w:eastAsia="仿宋_GB2312"/>
          <w:color w:val="auto"/>
          <w:sz w:val="32"/>
          <w:szCs w:val="32"/>
          <w:highlight w:val="none"/>
          <w:u w:val="single"/>
          <w:lang w:val="en-US" w:eastAsia="zh-CN"/>
        </w:rPr>
        <w:t xml:space="preserve">加工厂           </w:t>
      </w:r>
    </w:p>
    <w:p>
      <w:pPr>
        <w:keepNext w:val="0"/>
        <w:keepLines w:val="0"/>
        <w:pageBreakBefore w:val="0"/>
        <w:widowControl w:val="0"/>
        <w:kinsoku/>
        <w:wordWrap/>
        <w:overflowPunct/>
        <w:topLinePunct w:val="0"/>
        <w:autoSpaceDE/>
        <w:autoSpaceDN/>
        <w:bidi w:val="0"/>
        <w:adjustRightInd w:val="0"/>
        <w:snapToGrid w:val="0"/>
        <w:spacing w:line="360" w:lineRule="auto"/>
        <w:ind w:firstLine="2240" w:firstLineChars="700"/>
        <w:textAlignment w:val="auto"/>
        <w:rPr>
          <w:rFonts w:hint="eastAsia" w:ascii="仿宋_GB2312" w:eastAsia="仿宋_GB2312"/>
          <w:color w:val="auto"/>
          <w:sz w:val="36"/>
          <w:szCs w:val="36"/>
          <w:highlight w:val="none"/>
          <w:u w:val="single"/>
        </w:rPr>
      </w:pPr>
      <w:r>
        <w:rPr>
          <w:rFonts w:hint="eastAsia" w:ascii="仿宋_GB2312" w:eastAsia="仿宋_GB2312"/>
          <w:color w:val="auto"/>
          <w:sz w:val="32"/>
          <w:szCs w:val="32"/>
          <w:highlight w:val="none"/>
          <w:u w:val="single"/>
          <w:lang w:val="en-US" w:eastAsia="zh-CN"/>
        </w:rPr>
        <w:t xml:space="preserve">  </w:t>
      </w:r>
      <w:r>
        <w:rPr>
          <w:rFonts w:hint="eastAsia" w:ascii="仿宋_GB2312" w:eastAsia="仿宋_GB2312"/>
          <w:color w:val="auto"/>
          <w:sz w:val="32"/>
          <w:szCs w:val="32"/>
          <w:highlight w:val="none"/>
          <w:u w:val="single"/>
          <w:lang w:eastAsia="zh-CN"/>
        </w:rPr>
        <w:t>年产</w:t>
      </w:r>
      <w:r>
        <w:rPr>
          <w:rFonts w:hint="eastAsia" w:ascii="仿宋_GB2312" w:eastAsia="仿宋_GB2312"/>
          <w:color w:val="auto"/>
          <w:sz w:val="32"/>
          <w:szCs w:val="32"/>
          <w:highlight w:val="none"/>
          <w:u w:val="single"/>
          <w:lang w:val="en-US" w:eastAsia="zh-CN"/>
        </w:rPr>
        <w:t>3500</w:t>
      </w:r>
      <w:r>
        <w:rPr>
          <w:rFonts w:hint="eastAsia" w:ascii="仿宋_GB2312" w:eastAsia="仿宋_GB2312"/>
          <w:color w:val="auto"/>
          <w:sz w:val="32"/>
          <w:szCs w:val="32"/>
          <w:highlight w:val="none"/>
          <w:u w:val="single"/>
          <w:lang w:eastAsia="zh-CN"/>
        </w:rPr>
        <w:t>万</w:t>
      </w:r>
      <w:r>
        <w:rPr>
          <w:rFonts w:hint="eastAsia" w:ascii="仿宋_GB2312" w:eastAsia="仿宋_GB2312"/>
          <w:color w:val="auto"/>
          <w:sz w:val="32"/>
          <w:szCs w:val="32"/>
          <w:highlight w:val="none"/>
          <w:u w:val="single"/>
          <w:lang w:val="en-US" w:eastAsia="zh-CN"/>
        </w:rPr>
        <w:t>平方米石膏线条生产线建设</w:t>
      </w:r>
      <w:r>
        <w:rPr>
          <w:rFonts w:hint="eastAsia" w:ascii="仿宋_GB2312" w:eastAsia="仿宋_GB2312"/>
          <w:color w:val="auto"/>
          <w:sz w:val="32"/>
          <w:szCs w:val="32"/>
          <w:highlight w:val="none"/>
          <w:u w:val="single"/>
          <w:lang w:eastAsia="zh-CN"/>
        </w:rPr>
        <w:t>项目</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u w:val="single"/>
          <w:lang w:val="en-US" w:eastAsia="zh-CN"/>
        </w:rPr>
        <w:t xml:space="preserve">  </w:t>
      </w:r>
      <w:r>
        <w:rPr>
          <w:rFonts w:hint="eastAsia" w:ascii="仿宋_GB2312" w:eastAsia="仿宋_GB2312"/>
          <w:color w:val="auto"/>
          <w:sz w:val="36"/>
          <w:szCs w:val="36"/>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default" w:ascii="仿宋_GB2312" w:eastAsia="仿宋_GB2312"/>
          <w:color w:val="auto"/>
          <w:sz w:val="32"/>
          <w:szCs w:val="32"/>
          <w:highlight w:val="none"/>
          <w:u w:val="single"/>
          <w:lang w:val="en-US"/>
        </w:rPr>
      </w:pPr>
      <w:r>
        <w:rPr>
          <w:rFonts w:hint="eastAsia" w:ascii="仿宋_GB2312" w:eastAsia="仿宋_GB2312"/>
          <w:color w:val="auto"/>
          <w:sz w:val="32"/>
          <w:szCs w:val="32"/>
          <w:highlight w:val="none"/>
        </w:rPr>
        <w:t>建设单位（盖章）：</w:t>
      </w:r>
      <w:r>
        <w:rPr>
          <w:rFonts w:hint="eastAsia" w:ascii="仿宋_GB2312" w:eastAsia="仿宋_GB2312"/>
          <w:color w:val="auto"/>
          <w:sz w:val="32"/>
          <w:szCs w:val="32"/>
          <w:highlight w:val="none"/>
          <w:u w:val="single"/>
          <w:lang w:val="en-US" w:eastAsia="zh-CN"/>
        </w:rPr>
        <w:t xml:space="preserve"> </w:t>
      </w:r>
      <w:r>
        <w:rPr>
          <w:rFonts w:hint="eastAsia" w:ascii="仿宋_GB2312" w:eastAsia="仿宋_GB2312"/>
          <w:color w:val="auto"/>
          <w:sz w:val="32"/>
          <w:szCs w:val="32"/>
          <w:highlight w:val="none"/>
          <w:u w:val="single"/>
          <w:lang w:eastAsia="zh-CN"/>
        </w:rPr>
        <w:t>繁峙县新安建材加工厂</w:t>
      </w:r>
      <w:r>
        <w:rPr>
          <w:rFonts w:hint="eastAsia" w:ascii="仿宋_GB2312" w:eastAsia="仿宋_GB2312"/>
          <w:color w:val="auto"/>
          <w:sz w:val="32"/>
          <w:szCs w:val="32"/>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eastAsia" w:ascii="仿宋_GB2312" w:eastAsia="仿宋_GB2312"/>
          <w:color w:val="auto"/>
          <w:sz w:val="36"/>
          <w:szCs w:val="36"/>
          <w:highlight w:val="none"/>
          <w:u w:val="single"/>
        </w:rPr>
      </w:pPr>
      <w:r>
        <w:rPr>
          <w:rFonts w:hint="eastAsia" w:ascii="仿宋_GB2312" w:eastAsia="仿宋_GB2312"/>
          <w:color w:val="auto"/>
          <w:sz w:val="32"/>
          <w:szCs w:val="32"/>
          <w:highlight w:val="none"/>
        </w:rPr>
        <w:t>编制日期：</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u w:val="single"/>
          <w:lang w:val="en-US" w:eastAsia="zh-CN"/>
        </w:rPr>
        <w:t xml:space="preserve">            2022年8月</w:t>
      </w:r>
      <w:r>
        <w:rPr>
          <w:rFonts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u w:val="single"/>
          <w:lang w:val="en-US" w:eastAsia="zh-CN"/>
        </w:rPr>
        <w:t xml:space="preserve">  </w:t>
      </w:r>
      <w:r>
        <w:rPr>
          <w:rFonts w:ascii="仿宋_GB2312" w:eastAsia="仿宋_GB2312"/>
          <w:color w:val="auto"/>
          <w:sz w:val="32"/>
          <w:szCs w:val="32"/>
          <w:highlight w:val="none"/>
          <w:u w:val="single"/>
        </w:rPr>
        <w:t xml:space="preserve"> </w:t>
      </w:r>
      <w:r>
        <w:rPr>
          <w:rFonts w:ascii="仿宋_GB2312" w:eastAsia="仿宋_GB2312"/>
          <w:color w:val="auto"/>
          <w:sz w:val="36"/>
          <w:szCs w:val="36"/>
          <w:highlight w:val="none"/>
          <w:u w:val="single"/>
        </w:rPr>
        <w:t xml:space="preserve">    </w:t>
      </w:r>
    </w:p>
    <w:p>
      <w:pPr>
        <w:adjustRightInd w:val="0"/>
        <w:snapToGrid w:val="0"/>
        <w:spacing w:line="288" w:lineRule="auto"/>
        <w:ind w:firstLine="1040"/>
        <w:rPr>
          <w:rFonts w:ascii="仿宋_GB2312" w:eastAsia="仿宋_GB2312"/>
          <w:color w:val="auto"/>
          <w:sz w:val="36"/>
          <w:szCs w:val="36"/>
          <w:highlight w:val="none"/>
          <w:u w:val="single"/>
        </w:rPr>
      </w:pPr>
      <w:bookmarkStart w:id="0" w:name="_Hlk57884087"/>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hint="eastAsia" w:ascii="仿宋_GB2312" w:eastAsia="仿宋_GB2312"/>
          <w:color w:val="auto"/>
          <w:sz w:val="36"/>
          <w:szCs w:val="36"/>
          <w:highlight w:val="none"/>
        </w:rPr>
      </w:pPr>
    </w:p>
    <w:bookmarkEnd w:id="0"/>
    <w:p>
      <w:pPr>
        <w:adjustRightInd w:val="0"/>
        <w:snapToGrid w:val="0"/>
        <w:spacing w:line="288" w:lineRule="auto"/>
        <w:jc w:val="center"/>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pPr>
        <w:adjustRightInd w:val="0"/>
        <w:snapToGrid w:val="0"/>
        <w:spacing w:line="288" w:lineRule="auto"/>
        <w:ind w:firstLine="1040"/>
        <w:rPr>
          <w:rFonts w:ascii="仿宋_GB2312" w:eastAsia="仿宋_GB2312"/>
          <w:color w:val="auto"/>
          <w:sz w:val="36"/>
          <w:szCs w:val="36"/>
          <w:highlight w:val="none"/>
        </w:rPr>
      </w:pPr>
    </w:p>
    <w:p>
      <w:pPr>
        <w:pStyle w:val="10"/>
        <w:rPr>
          <w:rFonts w:ascii="仿宋_GB2312" w:eastAsia="仿宋_GB2312"/>
          <w:color w:val="auto"/>
          <w:sz w:val="36"/>
          <w:szCs w:val="36"/>
          <w:highlight w:val="none"/>
        </w:rPr>
      </w:pPr>
    </w:p>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23"/>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9571990" cy="5795010"/>
            <wp:effectExtent l="0" t="0" r="10160" b="15240"/>
            <wp:docPr id="118" name="图片 118" descr="SKM_C364e2207062214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SKM_C364e22070622140_0001"/>
                    <pic:cNvPicPr>
                      <a:picLocks noChangeAspect="1"/>
                    </pic:cNvPicPr>
                  </pic:nvPicPr>
                  <pic:blipFill>
                    <a:blip r:embed="rId8"/>
                    <a:srcRect l="7340" t="9827" r="7816" b="11054"/>
                    <a:stretch>
                      <a:fillRect/>
                    </a:stretch>
                  </pic:blipFill>
                  <pic:spPr>
                    <a:xfrm>
                      <a:off x="0" y="0"/>
                      <a:ext cx="9571990" cy="5795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lang w:eastAsia="zh-CN"/>
        </w:rPr>
        <w:drawing>
          <wp:inline distT="0" distB="0" distL="114300" distR="114300">
            <wp:extent cx="9572625" cy="5763260"/>
            <wp:effectExtent l="0" t="0" r="9525" b="8890"/>
            <wp:docPr id="130" name="图片 130" descr="SKM_C364e2207062214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SKM_C364e22070622140_0002"/>
                    <pic:cNvPicPr>
                      <a:picLocks noChangeAspect="1"/>
                    </pic:cNvPicPr>
                  </pic:nvPicPr>
                  <pic:blipFill>
                    <a:blip r:embed="rId9"/>
                    <a:srcRect l="7040" t="10733" r="8526" b="17255"/>
                    <a:stretch>
                      <a:fillRect/>
                    </a:stretch>
                  </pic:blipFill>
                  <pic:spPr>
                    <a:xfrm>
                      <a:off x="0" y="0"/>
                      <a:ext cx="9572625" cy="5763260"/>
                    </a:xfrm>
                    <a:prstGeom prst="rect">
                      <a:avLst/>
                    </a:prstGeom>
                  </pic:spPr>
                </pic:pic>
              </a:graphicData>
            </a:graphic>
          </wp:inline>
        </w:drawing>
      </w:r>
    </w:p>
    <w:p>
      <w:pPr>
        <w:pStyle w:val="2"/>
        <w:rPr>
          <w:rFonts w:hint="eastAsia"/>
          <w:lang w:eastAsia="zh-CN"/>
        </w:rPr>
        <w:sectPr>
          <w:pgSz w:w="16838" w:h="11906" w:orient="landscape"/>
          <w:pgMar w:top="1531" w:right="850" w:bottom="850" w:left="850"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20"/>
        <w:jc w:val="center"/>
        <w:outlineLvl w:val="0"/>
        <w:rPr>
          <w:rFonts w:hint="eastAsia" w:ascii="黑体" w:hAnsi="黑体" w:eastAsia="黑体" w:cs="Times New Roman"/>
          <w:snapToGrid w:val="0"/>
          <w:color w:val="auto"/>
          <w:sz w:val="32"/>
          <w:szCs w:val="32"/>
          <w:highlight w:val="none"/>
        </w:rPr>
      </w:pPr>
      <w:r>
        <w:rPr>
          <w:rFonts w:hint="eastAsia" w:ascii="黑体" w:hAnsi="黑体" w:eastAsia="黑体" w:cs="Times New Roman"/>
          <w:snapToGrid w:val="0"/>
          <w:color w:val="auto"/>
          <w:sz w:val="32"/>
          <w:szCs w:val="32"/>
          <w:highlight w:val="none"/>
        </w:rPr>
        <w:t>一、建设项目基本情况</w:t>
      </w:r>
    </w:p>
    <w:tbl>
      <w:tblPr>
        <w:tblStyle w:val="24"/>
        <w:tblW w:w="49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695"/>
        <w:gridCol w:w="2298"/>
        <w:gridCol w:w="2048"/>
        <w:gridCol w:w="29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建设项目名称</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4"/>
                <w:szCs w:val="32"/>
                <w:highlight w:val="none"/>
                <w:lang w:eastAsia="zh-CN"/>
              </w:rPr>
            </w:pPr>
            <w:r>
              <w:rPr>
                <w:rFonts w:hint="eastAsia"/>
                <w:color w:val="auto"/>
                <w:spacing w:val="0"/>
                <w:w w:val="100"/>
                <w:sz w:val="24"/>
                <w:szCs w:val="32"/>
                <w:highlight w:val="none"/>
                <w:lang w:eastAsia="zh-CN"/>
              </w:rPr>
              <w:t>繁峙县新安建材加工厂年产 3500万平方米石膏线条生产线建设项目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项目代码</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lang w:val="en-US" w:eastAsia="zh-CN"/>
              </w:rPr>
            </w:pPr>
            <w:r>
              <w:rPr>
                <w:rFonts w:hint="eastAsia"/>
                <w:color w:val="auto"/>
                <w:sz w:val="24"/>
                <w:szCs w:val="32"/>
                <w:highlight w:val="none"/>
                <w:lang w:val="en-US" w:eastAsia="zh-CN"/>
              </w:rPr>
              <w:t>2203-140924-89-05-770487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建设单位</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联系人</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lang w:val="en-US" w:eastAsia="zh-CN"/>
              </w:rPr>
            </w:pPr>
            <w:r>
              <w:rPr>
                <w:rFonts w:hint="eastAsia"/>
                <w:color w:val="auto"/>
                <w:sz w:val="24"/>
                <w:szCs w:val="32"/>
                <w:highlight w:val="none"/>
                <w:lang w:val="en-US" w:eastAsia="zh-CN"/>
              </w:rPr>
              <w:t>杨宝国</w:t>
            </w:r>
          </w:p>
        </w:tc>
        <w:tc>
          <w:tcPr>
            <w:tcW w:w="11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联系方式</w:t>
            </w:r>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lang w:val="en-US" w:eastAsia="zh-CN"/>
              </w:rPr>
            </w:pPr>
            <w:r>
              <w:rPr>
                <w:rFonts w:hint="default"/>
                <w:color w:val="auto"/>
                <w:sz w:val="24"/>
                <w:szCs w:val="32"/>
                <w:highlight w:val="none"/>
                <w:lang w:val="en-US" w:eastAsia="zh-CN"/>
              </w:rPr>
              <w:t>13935059287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建设地点</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4"/>
                <w:szCs w:val="32"/>
                <w:highlight w:val="none"/>
                <w:lang w:val="en-US" w:eastAsia="zh-CN"/>
              </w:rPr>
            </w:pPr>
            <w:r>
              <w:rPr>
                <w:rFonts w:hint="default"/>
                <w:color w:val="auto"/>
                <w:sz w:val="24"/>
                <w:szCs w:val="32"/>
                <w:highlight w:val="none"/>
                <w:lang w:val="en-US"/>
              </w:rPr>
              <w:t>繁峙县大营镇固庄村西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地理坐标</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东经E113</w:t>
            </w:r>
            <w:r>
              <w:rPr>
                <w:rFonts w:hint="default"/>
                <w:color w:val="auto"/>
                <w:sz w:val="24"/>
                <w:szCs w:val="32"/>
                <w:highlight w:val="none"/>
                <w:lang w:val="en-US" w:eastAsia="zh-CN"/>
              </w:rPr>
              <w:t>°</w:t>
            </w:r>
            <w:r>
              <w:rPr>
                <w:rFonts w:hint="eastAsia"/>
                <w:color w:val="auto"/>
                <w:sz w:val="24"/>
                <w:szCs w:val="32"/>
                <w:highlight w:val="none"/>
                <w:lang w:val="en-US" w:eastAsia="zh-CN"/>
              </w:rPr>
              <w:t>49</w:t>
            </w:r>
            <w:r>
              <w:rPr>
                <w:rFonts w:hint="default" w:ascii="Times New Roman" w:hAnsi="Times New Roman" w:cs="Times New Roman"/>
                <w:color w:val="auto"/>
                <w:sz w:val="24"/>
                <w:szCs w:val="32"/>
                <w:highlight w:val="none"/>
                <w:lang w:val="en-US" w:eastAsia="zh-CN"/>
              </w:rPr>
              <w:t>′</w:t>
            </w:r>
            <w:r>
              <w:rPr>
                <w:rFonts w:hint="eastAsia"/>
                <w:color w:val="auto"/>
                <w:sz w:val="24"/>
                <w:szCs w:val="32"/>
                <w:highlight w:val="none"/>
                <w:lang w:val="en-US" w:eastAsia="zh-CN"/>
              </w:rPr>
              <w:t>1.380</w:t>
            </w:r>
            <w:r>
              <w:rPr>
                <w:rFonts w:hint="default"/>
                <w:color w:val="auto"/>
                <w:sz w:val="24"/>
                <w:szCs w:val="32"/>
                <w:highlight w:val="none"/>
                <w:lang w:val="en-US" w:eastAsia="zh-CN"/>
              </w:rPr>
              <w:t>"</w:t>
            </w:r>
            <w:r>
              <w:rPr>
                <w:rFonts w:hint="default"/>
                <w:color w:val="auto"/>
                <w:sz w:val="24"/>
                <w:szCs w:val="32"/>
                <w:highlight w:val="none"/>
              </w:rPr>
              <w:t>，北纬N</w:t>
            </w:r>
            <w:r>
              <w:rPr>
                <w:rFonts w:hint="default"/>
                <w:color w:val="auto"/>
                <w:sz w:val="24"/>
                <w:szCs w:val="32"/>
                <w:highlight w:val="none"/>
                <w:lang w:val="en-US" w:eastAsia="zh-CN"/>
              </w:rPr>
              <w:t>39°</w:t>
            </w:r>
            <w:r>
              <w:rPr>
                <w:rFonts w:hint="eastAsia"/>
                <w:color w:val="auto"/>
                <w:sz w:val="24"/>
                <w:szCs w:val="32"/>
                <w:highlight w:val="none"/>
                <w:lang w:val="en-US" w:eastAsia="zh-CN"/>
              </w:rPr>
              <w:t>20</w:t>
            </w:r>
            <w:r>
              <w:rPr>
                <w:rFonts w:hint="default"/>
                <w:color w:val="auto"/>
                <w:sz w:val="24"/>
                <w:szCs w:val="32"/>
                <w:highlight w:val="none"/>
                <w:lang w:val="en-US" w:eastAsia="zh-CN"/>
              </w:rPr>
              <w:t>'</w:t>
            </w:r>
            <w:r>
              <w:rPr>
                <w:rFonts w:hint="eastAsia"/>
                <w:color w:val="auto"/>
                <w:sz w:val="24"/>
                <w:szCs w:val="32"/>
                <w:highlight w:val="none"/>
                <w:lang w:val="en-US" w:eastAsia="zh-CN"/>
              </w:rPr>
              <w:t>10.223</w:t>
            </w:r>
            <w:r>
              <w:rPr>
                <w:rFonts w:hint="default"/>
                <w:color w:val="auto"/>
                <w:sz w:val="24"/>
                <w:szCs w:val="32"/>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国民经济</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行业类别</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lang w:val="en-US" w:eastAsia="zh-CN"/>
              </w:rPr>
            </w:pPr>
            <w:r>
              <w:rPr>
                <w:rFonts w:hint="eastAsia" w:ascii="Times New Roman" w:hAnsi="Times New Roman" w:eastAsia="宋体" w:cs="Times New Roman"/>
                <w:color w:val="auto"/>
                <w:sz w:val="24"/>
                <w:szCs w:val="24"/>
                <w:highlight w:val="none"/>
                <w:lang w:val="en-US" w:eastAsia="zh-CN"/>
              </w:rPr>
              <w:t>C3024轻质建筑材料制造</w:t>
            </w:r>
          </w:p>
        </w:tc>
        <w:tc>
          <w:tcPr>
            <w:tcW w:w="11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bookmarkStart w:id="1" w:name="_Hlk49843745"/>
            <w:r>
              <w:rPr>
                <w:rFonts w:hint="default"/>
                <w:color w:val="auto"/>
                <w:sz w:val="24"/>
                <w:szCs w:val="32"/>
                <w:highlight w:val="none"/>
              </w:rPr>
              <w:t>建设项目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行业类别</w:t>
            </w:r>
            <w:bookmarkEnd w:id="1"/>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lang w:val="en-US" w:eastAsia="zh-CN"/>
              </w:rPr>
            </w:pPr>
            <w:r>
              <w:rPr>
                <w:rFonts w:hint="eastAsia" w:ascii="Times New Roman" w:hAnsi="Times New Roman" w:eastAsia="宋体" w:cs="Times New Roman"/>
                <w:color w:val="auto"/>
                <w:sz w:val="24"/>
                <w:szCs w:val="24"/>
                <w:highlight w:val="none"/>
                <w:lang w:val="en-US" w:eastAsia="zh-CN"/>
              </w:rPr>
              <w:t>二十七</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55石膏、水泥制品及类似制品制造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建设性质</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sym w:font="Wingdings 2" w:char="0052"/>
            </w:r>
            <w:r>
              <w:rPr>
                <w:rFonts w:hint="default"/>
                <w:color w:val="auto"/>
                <w:sz w:val="24"/>
                <w:szCs w:val="32"/>
                <w:highlight w:val="none"/>
              </w:rPr>
              <w:t>新建（迁建）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□改建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□扩建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□技术改造</w:t>
            </w:r>
          </w:p>
        </w:tc>
        <w:tc>
          <w:tcPr>
            <w:tcW w:w="11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建设项目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申报情形</w:t>
            </w:r>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sym w:font="Wingdings 2" w:char="0052"/>
            </w:r>
            <w:r>
              <w:rPr>
                <w:rFonts w:hint="default"/>
                <w:color w:val="auto"/>
                <w:sz w:val="24"/>
                <w:szCs w:val="32"/>
                <w:highlight w:val="none"/>
              </w:rPr>
              <w:t>首次申报项目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□不予批准后再次申报项目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□五年重新审核项目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项目审批（核准/备案）部门（选填）</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lang w:eastAsia="zh-CN"/>
              </w:rPr>
            </w:pPr>
            <w:r>
              <w:rPr>
                <w:rFonts w:hint="default"/>
                <w:color w:val="auto"/>
                <w:sz w:val="24"/>
                <w:szCs w:val="32"/>
                <w:highlight w:val="none"/>
                <w:lang w:eastAsia="zh-CN"/>
              </w:rPr>
              <w:t>繁峙县行政审批服务管理局</w:t>
            </w:r>
          </w:p>
        </w:tc>
        <w:tc>
          <w:tcPr>
            <w:tcW w:w="11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项目审批（核准/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备案）文号（选填）</w:t>
            </w:r>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eastAsia"/>
                <w:color w:val="auto"/>
                <w:sz w:val="24"/>
                <w:szCs w:val="32"/>
                <w:highlight w:val="none"/>
                <w:lang w:val="en-US" w:eastAsia="zh-CN"/>
              </w:rPr>
              <w:t>2203-140924-89-05-770487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总投资（万元）</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lang w:val="en-US" w:eastAsia="zh-CN"/>
              </w:rPr>
            </w:pPr>
            <w:r>
              <w:rPr>
                <w:rFonts w:hint="eastAsia"/>
                <w:color w:val="auto"/>
                <w:sz w:val="24"/>
                <w:szCs w:val="32"/>
                <w:highlight w:val="none"/>
                <w:lang w:val="en-US" w:eastAsia="zh-CN"/>
              </w:rPr>
              <w:t>400</w:t>
            </w:r>
          </w:p>
        </w:tc>
        <w:tc>
          <w:tcPr>
            <w:tcW w:w="1137"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环保投资（万元）</w:t>
            </w:r>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4"/>
                <w:szCs w:val="32"/>
                <w:highlight w:val="none"/>
                <w:lang w:val="en-US" w:eastAsia="zh-CN"/>
              </w:rPr>
            </w:pPr>
            <w:r>
              <w:rPr>
                <w:rFonts w:hint="eastAsia"/>
                <w:color w:val="auto"/>
                <w:sz w:val="24"/>
                <w:szCs w:val="32"/>
                <w:highlight w:val="none"/>
                <w:lang w:val="en-US" w:eastAsia="zh-CN"/>
              </w:rPr>
              <w:t>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环保投资占比（%）</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4"/>
                <w:szCs w:val="32"/>
                <w:highlight w:val="none"/>
                <w:lang w:val="en-US" w:eastAsia="zh-CN"/>
              </w:rPr>
            </w:pPr>
            <w:r>
              <w:rPr>
                <w:rFonts w:hint="eastAsia"/>
                <w:color w:val="auto"/>
                <w:sz w:val="24"/>
                <w:szCs w:val="32"/>
                <w:highlight w:val="none"/>
                <w:lang w:val="en-US" w:eastAsia="zh-CN"/>
              </w:rPr>
              <w:t>6.75</w:t>
            </w:r>
          </w:p>
        </w:tc>
        <w:tc>
          <w:tcPr>
            <w:tcW w:w="1137"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施工工期</w:t>
            </w:r>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4"/>
                <w:szCs w:val="32"/>
                <w:highlight w:val="none"/>
                <w:lang w:val="en-US" w:eastAsia="zh-CN"/>
              </w:rPr>
            </w:pPr>
            <w:r>
              <w:rPr>
                <w:rFonts w:hint="eastAsia"/>
                <w:color w:val="auto"/>
                <w:sz w:val="24"/>
                <w:szCs w:val="32"/>
                <w:highlight w:val="none"/>
                <w:lang w:val="en-US" w:eastAsia="zh-CN"/>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是否开工建设</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sym w:font="Wingdings 2" w:char="0052"/>
            </w:r>
            <w:r>
              <w:rPr>
                <w:rFonts w:hint="default"/>
                <w:color w:val="auto"/>
                <w:sz w:val="24"/>
                <w:szCs w:val="32"/>
                <w:highlight w:val="none"/>
              </w:rPr>
              <w:t>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sym w:font="Wingdings 2" w:char="00A3"/>
            </w:r>
            <w:r>
              <w:rPr>
                <w:rFonts w:hint="default"/>
                <w:color w:val="auto"/>
                <w:sz w:val="24"/>
                <w:szCs w:val="32"/>
                <w:highlight w:val="none"/>
              </w:rPr>
              <w:t>是：</w:t>
            </w:r>
          </w:p>
        </w:tc>
        <w:tc>
          <w:tcPr>
            <w:tcW w:w="1137"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用地（用海）</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4"/>
                <w:szCs w:val="32"/>
                <w:highlight w:val="none"/>
              </w:rPr>
            </w:pPr>
            <w:r>
              <w:rPr>
                <w:rFonts w:hint="default"/>
                <w:color w:val="auto"/>
                <w:sz w:val="24"/>
                <w:szCs w:val="32"/>
                <w:highlight w:val="none"/>
              </w:rPr>
              <w:t>面积（m</w:t>
            </w:r>
            <w:r>
              <w:rPr>
                <w:rFonts w:hint="default"/>
                <w:color w:val="auto"/>
                <w:sz w:val="24"/>
                <w:szCs w:val="32"/>
                <w:highlight w:val="none"/>
                <w:vertAlign w:val="superscript"/>
              </w:rPr>
              <w:t>2</w:t>
            </w:r>
            <w:r>
              <w:rPr>
                <w:rFonts w:hint="default"/>
                <w:color w:val="auto"/>
                <w:sz w:val="24"/>
                <w:szCs w:val="32"/>
                <w:highlight w:val="none"/>
              </w:rPr>
              <w:t>）</w:t>
            </w:r>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4"/>
                <w:szCs w:val="32"/>
                <w:highlight w:val="none"/>
                <w:lang w:val="en-US" w:eastAsia="zh-CN"/>
              </w:rPr>
            </w:pPr>
            <w:r>
              <w:rPr>
                <w:rFonts w:hint="eastAsia"/>
                <w:color w:val="auto"/>
                <w:sz w:val="24"/>
                <w:szCs w:val="32"/>
                <w:highlight w:val="none"/>
                <w:lang w:val="en-US" w:eastAsia="zh-CN"/>
              </w:rPr>
              <w:t>4333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42" w:type="pct"/>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专项评价设置情况</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42" w:type="pct"/>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规划情况</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42" w:type="pct"/>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规划环境影响评价情况</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42" w:type="pct"/>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规划及规划环境影响评价符合性分析</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42" w:type="pct"/>
            <w:shd w:val="clear" w:color="auto" w:fill="auto"/>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其他符合性</w:t>
            </w:r>
          </w:p>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分析</w:t>
            </w:r>
          </w:p>
        </w:tc>
        <w:tc>
          <w:tcPr>
            <w:tcW w:w="4057" w:type="pct"/>
            <w:gridSpan w:val="3"/>
            <w:shd w:val="clear" w:color="auto" w:fill="auto"/>
            <w:noWrap w:val="0"/>
            <w:vAlign w:val="center"/>
          </w:tcPr>
          <w:p>
            <w:pPr>
              <w:keepNext/>
              <w:keepLines/>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imes New Roman" w:hAnsi="Times New Roman" w:eastAsia="宋体" w:cs="Times New Roman"/>
                <w:b/>
                <w:bCs/>
                <w:color w:val="auto"/>
                <w:sz w:val="24"/>
                <w:szCs w:val="32"/>
                <w:highlight w:val="none"/>
                <w:lang w:val="en-US" w:eastAsia="zh-CN"/>
              </w:rPr>
            </w:pPr>
            <w:r>
              <w:rPr>
                <w:rFonts w:hint="eastAsia" w:ascii="Times New Roman" w:hAnsi="Times New Roman" w:cs="Times New Roman"/>
                <w:b/>
                <w:bCs/>
                <w:color w:val="auto"/>
                <w:sz w:val="24"/>
                <w:highlight w:val="none"/>
                <w:lang w:val="en-US" w:eastAsia="zh-CN"/>
              </w:rPr>
              <w:t>1</w:t>
            </w:r>
            <w:r>
              <w:rPr>
                <w:rFonts w:hint="eastAsia" w:cs="Times New Roman"/>
                <w:b/>
                <w:bCs/>
                <w:color w:val="auto"/>
                <w:sz w:val="24"/>
                <w:highlight w:val="none"/>
                <w:lang w:val="en-US" w:eastAsia="zh-CN"/>
              </w:rPr>
              <w:t>、</w:t>
            </w:r>
            <w:r>
              <w:rPr>
                <w:rFonts w:hint="eastAsia" w:ascii="Times New Roman" w:hAnsi="Times New Roman" w:eastAsia="宋体" w:cs="Times New Roman"/>
                <w:b/>
                <w:bCs/>
                <w:color w:val="auto"/>
                <w:sz w:val="24"/>
                <w:szCs w:val="32"/>
                <w:highlight w:val="none"/>
                <w:lang w:val="en-US" w:eastAsia="zh-CN"/>
              </w:rPr>
              <w:t>与《繁峙县县城总体规划（2012-2030）》符合性分析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《繁峙县</w:t>
            </w:r>
            <w:r>
              <w:rPr>
                <w:rFonts w:hint="default" w:ascii="Times New Roman" w:hAnsi="Times New Roman" w:eastAsia="宋体" w:cs="Times New Roman"/>
                <w:color w:val="auto"/>
                <w:sz w:val="24"/>
                <w:szCs w:val="24"/>
                <w:highlight w:val="none"/>
                <w:lang w:eastAsia="zh-CN"/>
              </w:rPr>
              <w:t>县城</w:t>
            </w:r>
            <w:r>
              <w:rPr>
                <w:rFonts w:hint="default" w:ascii="Times New Roman" w:hAnsi="Times New Roman" w:eastAsia="宋体" w:cs="Times New Roman"/>
                <w:color w:val="auto"/>
                <w:sz w:val="24"/>
                <w:szCs w:val="24"/>
                <w:highlight w:val="none"/>
              </w:rPr>
              <w:t>总体规划</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2012-2030)》由山西省城乡规划设计研究院编制完成，并</w:t>
            </w:r>
            <w:r>
              <w:rPr>
                <w:rFonts w:hint="default" w:ascii="Times New Roman" w:hAnsi="Times New Roman" w:eastAsia="宋体" w:cs="Times New Roman"/>
                <w:color w:val="auto"/>
                <w:sz w:val="24"/>
                <w:szCs w:val="24"/>
                <w:highlight w:val="none"/>
                <w:lang w:eastAsia="zh-CN"/>
              </w:rPr>
              <w:t>于</w:t>
            </w:r>
            <w:r>
              <w:rPr>
                <w:rFonts w:hint="default" w:ascii="Times New Roman" w:hAnsi="Times New Roman" w:eastAsia="宋体" w:cs="Times New Roman"/>
                <w:color w:val="auto"/>
                <w:sz w:val="24"/>
                <w:szCs w:val="24"/>
                <w:highlight w:val="none"/>
              </w:rPr>
              <w:t>2012年12月20日由忻州市人民政府以忻政函</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2013</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236号文批准实施。该规划主要内容如下</w:t>
            </w:r>
            <w:r>
              <w:rPr>
                <w:rFonts w:hint="eastAsia"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①规划期限</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近期2012--2015年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远期2016--2030年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远景2030年以后。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 ②城市规划区范围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本次调整范围为繁峙县域，全县辖3镇10乡，包括繁城镇、砂河镇、大营镇3个镇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杏园乡、光裕堡乡、下茹越乡、东山乡、金山铺乡、横涧乡、相家庄乡、神堂堡乡、岩头乡10个乡。总面积2381km</w:t>
            </w:r>
            <w:r>
              <w:rPr>
                <w:rFonts w:hint="default" w:ascii="Times New Roman" w:hAnsi="Times New Roman" w:eastAsia="宋体" w:cs="Times New Roman"/>
                <w:color w:val="auto"/>
                <w:sz w:val="24"/>
                <w:szCs w:val="24"/>
                <w:highlight w:val="none"/>
                <w:vertAlign w:val="superscript"/>
                <w:lang w:val="en-US" w:eastAsia="zh-CN"/>
              </w:rPr>
              <w:t>2</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2015年底县域人口27.4万人。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依托区域发展战略，参考市城国土空间主体功能区规划，规划城镇空间开发战略为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“一心一轴三区” 的区域空间结构。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一心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繁城镇</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繁城镇是繁峙县的政治文化中心。规划重点是实现该地区的道路、能源、生态环境等的一体化建设，中远期将其建设成为以农副产品加工和旅游服务为主的忻州市东北的要塞通道。环渤海都市圈的重要组成部分。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 一轴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繁城镇</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砂河镇</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大营镇经济发展轴。繁城镇，砂河镇和大营镇三镇都位于地形条件较好的盆地，地形平坦，经济发展较好。依托京原铁路和108国道，做好矿产资源的加工运输业，同时，引进先进技术建设现代化的工业园区，加大资源的深加工、精加工技术，高碳产业低碳化发展。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 三区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西区、东区、南区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规划将整个</w:t>
            </w:r>
            <w:r>
              <w:rPr>
                <w:rFonts w:hint="default" w:ascii="Times New Roman" w:hAnsi="Times New Roman" w:eastAsia="宋体" w:cs="Times New Roman"/>
                <w:color w:val="auto"/>
                <w:sz w:val="24"/>
                <w:szCs w:val="24"/>
                <w:highlight w:val="none"/>
                <w:lang w:eastAsia="zh-CN"/>
              </w:rPr>
              <w:t>繁峙县城划</w:t>
            </w:r>
            <w:r>
              <w:rPr>
                <w:rFonts w:hint="default" w:ascii="Times New Roman" w:hAnsi="Times New Roman" w:eastAsia="宋体" w:cs="Times New Roman"/>
                <w:color w:val="auto"/>
                <w:sz w:val="24"/>
                <w:szCs w:val="24"/>
                <w:highlight w:val="none"/>
              </w:rPr>
              <w:t>分为3个区，分别是工业集中发展区、农业集中发展区、旅游服务业集中发展区。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本项目位于</w:t>
            </w:r>
            <w:r>
              <w:rPr>
                <w:rFonts w:hint="default"/>
                <w:color w:val="auto"/>
                <w:sz w:val="24"/>
                <w:szCs w:val="32"/>
                <w:highlight w:val="none"/>
                <w:lang w:val="en-US"/>
              </w:rPr>
              <w:t>繁峙县大营镇固庄村西</w:t>
            </w:r>
            <w:r>
              <w:rPr>
                <w:rFonts w:hint="default" w:ascii="Times New Roman" w:hAnsi="Times New Roman" w:cs="Times New Roman"/>
                <w:color w:val="auto"/>
                <w:sz w:val="24"/>
                <w:highlight w:val="none"/>
              </w:rPr>
              <w:t>，距离繁峙县总体规划距离约</w:t>
            </w:r>
            <w:r>
              <w:rPr>
                <w:rFonts w:hint="eastAsia" w:cs="Times New Roman"/>
                <w:color w:val="auto"/>
                <w:sz w:val="24"/>
                <w:highlight w:val="none"/>
                <w:lang w:val="en-US" w:eastAsia="zh-CN"/>
              </w:rPr>
              <w:t>45.4</w:t>
            </w:r>
            <w:r>
              <w:rPr>
                <w:rFonts w:hint="default" w:ascii="Times New Roman" w:hAnsi="Times New Roman" w:cs="Times New Roman"/>
                <w:color w:val="auto"/>
                <w:sz w:val="24"/>
                <w:highlight w:val="none"/>
              </w:rPr>
              <w:t>km，不在繁峙县城市规划范围内，不违背繁峙县城市总体规划的发展要求。</w:t>
            </w:r>
            <w:r>
              <w:rPr>
                <w:rFonts w:hint="default" w:ascii="Times New Roman" w:hAnsi="Times New Roman" w:eastAsia="宋体" w:cs="Times New Roman"/>
                <w:color w:val="auto"/>
                <w:sz w:val="24"/>
                <w:szCs w:val="24"/>
                <w:highlight w:val="none"/>
                <w:lang w:eastAsia="zh-CN"/>
              </w:rPr>
              <w:t>项目与</w:t>
            </w:r>
            <w:r>
              <w:rPr>
                <w:rFonts w:hint="default" w:ascii="Times New Roman" w:hAnsi="Times New Roman" w:eastAsia="宋体" w:cs="Times New Roman"/>
                <w:color w:val="auto"/>
                <w:sz w:val="24"/>
                <w:szCs w:val="24"/>
                <w:highlight w:val="none"/>
              </w:rPr>
              <w:t>繁峙县县城总体规划详见</w:t>
            </w:r>
            <w:r>
              <w:rPr>
                <w:rFonts w:hint="eastAsia" w:ascii="Times New Roman" w:hAnsi="Times New Roman" w:eastAsia="宋体" w:cs="Times New Roman"/>
                <w:color w:val="auto"/>
                <w:sz w:val="24"/>
                <w:szCs w:val="24"/>
                <w:highlight w:val="none"/>
                <w:lang w:val="en-US" w:eastAsia="zh-CN"/>
              </w:rPr>
              <w:t>附</w:t>
            </w:r>
            <w:r>
              <w:rPr>
                <w:rFonts w:hint="default" w:ascii="Times New Roman" w:hAnsi="Times New Roman" w:eastAsia="宋体" w:cs="Times New Roman"/>
                <w:color w:val="auto"/>
                <w:sz w:val="24"/>
                <w:szCs w:val="24"/>
                <w:highlight w:val="none"/>
              </w:rPr>
              <w:t>图</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default" w:ascii="Times New Roman" w:hAnsi="Times New Roman" w:cs="Times New Roman"/>
                <w:b/>
                <w:bCs/>
                <w:color w:val="auto"/>
                <w:sz w:val="24"/>
                <w:highlight w:val="none"/>
                <w:lang w:val="en-US"/>
              </w:rPr>
            </w:pPr>
            <w:r>
              <w:rPr>
                <w:rFonts w:hint="eastAsia" w:cs="Times New Roman"/>
                <w:b/>
                <w:bCs/>
                <w:color w:val="auto"/>
                <w:sz w:val="24"/>
                <w:highlight w:val="none"/>
                <w:lang w:val="en-US" w:eastAsia="zh-CN"/>
              </w:rPr>
              <w:t>2、与</w:t>
            </w:r>
            <w:r>
              <w:rPr>
                <w:rFonts w:hint="default" w:ascii="Times New Roman" w:hAnsi="Times New Roman" w:cs="Times New Roman"/>
                <w:b/>
                <w:bCs/>
                <w:color w:val="auto"/>
                <w:sz w:val="24"/>
                <w:highlight w:val="none"/>
                <w:lang w:eastAsia="zh-CN"/>
              </w:rPr>
              <w:t>《山西省主体功能区划》相符性</w:t>
            </w:r>
            <w:r>
              <w:rPr>
                <w:rFonts w:hint="eastAsia" w:cs="Times New Roman"/>
                <w:b/>
                <w:bCs/>
                <w:color w:val="auto"/>
                <w:sz w:val="24"/>
                <w:highlight w:val="none"/>
                <w:lang w:val="en-US" w:eastAsia="zh-CN"/>
              </w:rPr>
              <w:t>分析</w:t>
            </w:r>
          </w:p>
          <w:p>
            <w:pPr>
              <w:pStyle w:val="5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rPr>
              <w:t>2014年4月11日，山西省政府发布了《山西省主体功能区规划》（以下简称《规划》），将山西省国土空间细分为：重点开发区域、限制开发区域（农产品主产区）、限制开发区域（重点生态功能区）和禁止开发区域四类区域，并赋予其不同的发展功能定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eastAsia="zh-CN"/>
              </w:rPr>
              <w:t>根据《山西省主体功能区划》</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rPr>
              <w:t>本项目位于省级限制开发的重点生态功能区中的五台山水源涵养生态功能区。</w:t>
            </w:r>
            <w:r>
              <w:rPr>
                <w:rFonts w:hint="eastAsia" w:cs="Times New Roman"/>
                <w:color w:val="auto"/>
                <w:sz w:val="24"/>
                <w:highlight w:val="none"/>
                <w:lang w:eastAsia="zh-CN"/>
              </w:rPr>
              <w:t>该区功能定位与综合评价：滹沱河</w:t>
            </w:r>
            <w:r>
              <w:rPr>
                <w:rFonts w:hint="default" w:ascii="Times New Roman" w:hAnsi="Times New Roman" w:cs="Times New Roman"/>
                <w:color w:val="auto"/>
                <w:sz w:val="24"/>
                <w:highlight w:val="none"/>
              </w:rPr>
              <w:t xml:space="preserve">上游及其支流的水源涵养区。该区域温差较大，气候偏冷，是全省气温最低的地区。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发展方向</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提高封山育林面积，加大以冷</w:t>
            </w:r>
            <w:r>
              <w:rPr>
                <w:rFonts w:hint="eastAsia" w:cs="Times New Roman"/>
                <w:color w:val="auto"/>
                <w:sz w:val="24"/>
                <w:highlight w:val="none"/>
                <w:lang w:eastAsia="zh-CN"/>
              </w:rPr>
              <w:t>杉</w:t>
            </w:r>
            <w:r>
              <w:rPr>
                <w:rFonts w:hint="default" w:ascii="Times New Roman" w:hAnsi="Times New Roman" w:cs="Times New Roman"/>
                <w:color w:val="auto"/>
                <w:sz w:val="24"/>
                <w:highlight w:val="none"/>
              </w:rPr>
              <w:t>为主的特有树种的保护，积极营造水源涵养林、水土保持林和生态公益林；加强五台山南坡森林植被的管护和修复，提高滹沱上游源区水源涵养功能；严格保护灵台盆地、繁峙谷地现有耕地规模，提高耕地产出效益，形成集约高效的农业生产空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auto"/>
                <w:sz w:val="24"/>
                <w:szCs w:val="32"/>
                <w:highlight w:val="none"/>
              </w:rPr>
            </w:pPr>
            <w:r>
              <w:rPr>
                <w:rFonts w:hint="default" w:ascii="Times New Roman" w:hAnsi="Times New Roman" w:eastAsia="宋体" w:cs="Times New Roman"/>
                <w:color w:val="auto"/>
                <w:sz w:val="24"/>
                <w:szCs w:val="24"/>
                <w:highlight w:val="none"/>
              </w:rPr>
              <w:t>本项目为</w:t>
            </w:r>
            <w:r>
              <w:rPr>
                <w:rFonts w:hint="eastAsia" w:cs="Times New Roman"/>
                <w:color w:val="auto"/>
                <w:sz w:val="24"/>
                <w:szCs w:val="24"/>
                <w:highlight w:val="none"/>
                <w:lang w:val="en-US" w:eastAsia="zh-CN"/>
              </w:rPr>
              <w:t>石膏线条生产项目</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用地现状为原恒山二选厂旧址，用地性质为工矿用地，不涉及林地、耕地，不会破坏区域林地植被；项目</w:t>
            </w:r>
            <w:r>
              <w:rPr>
                <w:rFonts w:hint="eastAsia" w:cs="Times New Roman"/>
                <w:color w:val="auto"/>
                <w:sz w:val="24"/>
                <w:szCs w:val="24"/>
                <w:highlight w:val="none"/>
                <w:lang w:eastAsia="zh-CN"/>
              </w:rPr>
              <w:t>占地面积较小，</w:t>
            </w:r>
            <w:r>
              <w:rPr>
                <w:rFonts w:hint="default" w:ascii="Times New Roman" w:hAnsi="Times New Roman" w:eastAsia="宋体" w:cs="Times New Roman"/>
                <w:color w:val="auto"/>
                <w:sz w:val="24"/>
                <w:highlight w:val="none"/>
                <w:lang w:eastAsia="zh-CN"/>
              </w:rPr>
              <w:t>施工过程严格控制开发强度，施工结束后加强厂区绿化、硬化等措施，严格控制土壤侵蚀，做好水土保持</w:t>
            </w:r>
            <w:r>
              <w:rPr>
                <w:rFonts w:hint="eastAsia" w:cs="Times New Roman"/>
                <w:color w:val="auto"/>
                <w:sz w:val="24"/>
                <w:highlight w:val="none"/>
                <w:lang w:eastAsia="zh-CN"/>
              </w:rPr>
              <w:t>，</w:t>
            </w:r>
            <w:r>
              <w:rPr>
                <w:rFonts w:hint="eastAsia" w:cs="Times New Roman"/>
                <w:color w:val="auto"/>
                <w:sz w:val="24"/>
                <w:highlight w:val="none"/>
                <w:lang w:val="en-US" w:eastAsia="zh-CN"/>
              </w:rPr>
              <w:t>可将</w:t>
            </w:r>
            <w:r>
              <w:rPr>
                <w:rFonts w:hint="default" w:ascii="Times New Roman" w:hAnsi="Times New Roman" w:cs="Times New Roman"/>
                <w:b w:val="0"/>
                <w:bCs/>
                <w:color w:val="auto"/>
                <w:sz w:val="24"/>
                <w:szCs w:val="32"/>
                <w:highlight w:val="none"/>
              </w:rPr>
              <w:t>对评价区的生态影响可以降低到最低程度。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auto"/>
                <w:sz w:val="24"/>
                <w:szCs w:val="32"/>
                <w:highlight w:val="none"/>
              </w:rPr>
            </w:pPr>
            <w:r>
              <w:rPr>
                <w:rFonts w:hint="default" w:ascii="Times New Roman" w:hAnsi="Times New Roman" w:cs="Times New Roman"/>
                <w:b w:val="0"/>
                <w:bCs/>
                <w:color w:val="auto"/>
                <w:sz w:val="24"/>
                <w:szCs w:val="32"/>
                <w:highlight w:val="none"/>
              </w:rPr>
              <w:t>因此，项目的建设及运营期带来的影响是区域自然体系可以承受的，不违背《山西省主体功能区规划》中省级限制开发的重点生态功能区规划要求。</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五台山水源涵养生态功能区</w:t>
            </w:r>
            <w:r>
              <w:rPr>
                <w:rFonts w:hint="default" w:ascii="Times New Roman" w:hAnsi="Times New Roman" w:eastAsia="宋体" w:cs="Times New Roman"/>
                <w:color w:val="auto"/>
                <w:sz w:val="24"/>
                <w:szCs w:val="24"/>
                <w:highlight w:val="none"/>
              </w:rPr>
              <w:t>见</w:t>
            </w:r>
            <w:r>
              <w:rPr>
                <w:rFonts w:hint="eastAsia" w:ascii="Times New Roman" w:hAnsi="Times New Roman" w:eastAsia="宋体" w:cs="Times New Roman"/>
                <w:color w:val="auto"/>
                <w:sz w:val="24"/>
                <w:szCs w:val="24"/>
                <w:highlight w:val="none"/>
                <w:lang w:val="en-US" w:eastAsia="zh-CN"/>
              </w:rPr>
              <w:t>附图6</w:t>
            </w:r>
            <w:r>
              <w:rPr>
                <w:rFonts w:hint="default" w:ascii="Times New Roman" w:hAnsi="Times New Roman" w:eastAsia="宋体" w:cs="Times New Roman"/>
                <w:color w:val="auto"/>
                <w:sz w:val="24"/>
                <w:szCs w:val="24"/>
                <w:highlight w:val="none"/>
              </w:rPr>
              <w:t>。</w:t>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baseline"/>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3、与《繁峙县生态功能区划》的符合性分析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rPr>
                <w:color w:val="auto"/>
                <w:sz w:val="24"/>
                <w:szCs w:val="32"/>
                <w:highlight w:val="none"/>
              </w:rPr>
            </w:pPr>
            <w:r>
              <w:rPr>
                <w:rFonts w:hint="default" w:ascii="Times New Roman" w:hAnsi="Times New Roman" w:cs="Times New Roman"/>
                <w:color w:val="auto"/>
                <w:sz w:val="24"/>
                <w:szCs w:val="24"/>
                <w:highlight w:val="none"/>
              </w:rPr>
              <w:t>繁峙县生态功能区划综合分区系统划分为4个生态功能亚区1</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个生态功能小区，</w:t>
            </w:r>
            <w:r>
              <w:rPr>
                <w:color w:val="auto"/>
                <w:sz w:val="24"/>
                <w:szCs w:val="32"/>
                <w:highlight w:val="none"/>
              </w:rPr>
              <w:t>本项目</w:t>
            </w:r>
            <w:r>
              <w:rPr>
                <w:rFonts w:hint="eastAsia"/>
                <w:color w:val="auto"/>
                <w:sz w:val="24"/>
                <w:szCs w:val="32"/>
                <w:highlight w:val="none"/>
              </w:rPr>
              <w:t>位于</w:t>
            </w:r>
            <w:r>
              <w:rPr>
                <w:color w:val="auto"/>
                <w:spacing w:val="4"/>
                <w:sz w:val="24"/>
                <w:szCs w:val="32"/>
                <w:highlight w:val="none"/>
              </w:rPr>
              <w:t>Ⅱ繁峙县滹沱河沿岸山地丘陵区水土保持生态功能</w:t>
            </w:r>
            <w:r>
              <w:rPr>
                <w:rFonts w:hint="eastAsia"/>
                <w:color w:val="auto"/>
                <w:spacing w:val="4"/>
                <w:sz w:val="24"/>
                <w:szCs w:val="32"/>
                <w:highlight w:val="none"/>
              </w:rPr>
              <w:t>亚</w:t>
            </w:r>
            <w:r>
              <w:rPr>
                <w:color w:val="auto"/>
                <w:spacing w:val="4"/>
                <w:sz w:val="24"/>
                <w:szCs w:val="32"/>
                <w:highlight w:val="none"/>
              </w:rPr>
              <w:t>区</w:t>
            </w:r>
            <w:r>
              <w:rPr>
                <w:color w:val="auto"/>
                <w:sz w:val="24"/>
                <w:szCs w:val="32"/>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该区的生态环保措施要求：①对于水土流失现象相对严重的区域，实施小流域治理和植树造林等生态恢复工程，注重效果，对已完成的工程要加大管护力度；②对现有林地和草地进行补植补造，在植被覆盖度低的区域，种草、发展灌木林，并加强管护进行合理的采伐和放牧；③在滹沱河及其支流沿岸加强植草、植树护岸林带建设；④对小区内蕴藏的矿产资源，要引进先进的开采技术和管理经验，实施绿色开采和积极开展矿山的生态恢复；⑤加快区内排污管网和垃圾无害化处置场建设；⑥加强该区内采矿与加工业环保设施的建设与监管，减少工业企业产生的废气、废水、废渣对周围环境的影响；⑦围绕农村建设内容，推动农业循环经济，科学实施种植养殖业，发展沼气、太阳能等清洁能源产业，以此解决流域内居民生产生活污染潜在的环境问题，保证流域能持续地维系良好的自然生态环境。</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对照生态功能小区保护要求，</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符合性分析如下：①项目</w:t>
            </w:r>
            <w:r>
              <w:rPr>
                <w:rFonts w:hint="eastAsia" w:ascii="Times New Roman" w:hAnsi="Times New Roman" w:eastAsia="宋体" w:cs="Times New Roman"/>
                <w:color w:val="auto"/>
                <w:sz w:val="24"/>
                <w:szCs w:val="24"/>
                <w:highlight w:val="none"/>
                <w:lang w:val="en-US" w:eastAsia="zh-CN"/>
              </w:rPr>
              <w:t>用地现状为</w:t>
            </w:r>
            <w:r>
              <w:rPr>
                <w:rFonts w:hint="eastAsia" w:cs="Times New Roman"/>
                <w:color w:val="auto"/>
                <w:sz w:val="24"/>
                <w:szCs w:val="24"/>
                <w:highlight w:val="none"/>
                <w:lang w:val="en-US" w:eastAsia="zh-CN"/>
              </w:rPr>
              <w:t>工矿</w:t>
            </w:r>
            <w:r>
              <w:rPr>
                <w:rFonts w:hint="eastAsia" w:ascii="Times New Roman" w:hAnsi="Times New Roman" w:eastAsia="宋体" w:cs="Times New Roman"/>
                <w:color w:val="auto"/>
                <w:sz w:val="24"/>
                <w:szCs w:val="24"/>
                <w:highlight w:val="none"/>
                <w:lang w:val="en-US" w:eastAsia="zh-CN"/>
              </w:rPr>
              <w:t>用地</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占地面积较小，不会</w:t>
            </w:r>
            <w:r>
              <w:rPr>
                <w:rFonts w:hint="eastAsia" w:ascii="Times New Roman" w:hAnsi="Times New Roman" w:eastAsia="宋体" w:cs="Times New Roman"/>
                <w:color w:val="auto"/>
                <w:sz w:val="24"/>
                <w:szCs w:val="24"/>
                <w:highlight w:val="none"/>
                <w:lang w:val="en-US" w:eastAsia="zh-CN"/>
              </w:rPr>
              <w:t>恶化</w:t>
            </w:r>
            <w:r>
              <w:rPr>
                <w:rFonts w:hint="default" w:ascii="Times New Roman" w:hAnsi="Times New Roman" w:eastAsia="宋体" w:cs="Times New Roman"/>
                <w:color w:val="auto"/>
                <w:sz w:val="24"/>
                <w:szCs w:val="24"/>
                <w:highlight w:val="none"/>
                <w:lang w:eastAsia="zh-CN"/>
              </w:rPr>
              <w:t>对区域水土流失；②项目不占用</w:t>
            </w:r>
            <w:r>
              <w:rPr>
                <w:rFonts w:hint="eastAsia" w:ascii="Times New Roman" w:hAnsi="Times New Roman" w:eastAsia="宋体" w:cs="Times New Roman"/>
                <w:color w:val="auto"/>
                <w:sz w:val="24"/>
                <w:szCs w:val="24"/>
                <w:highlight w:val="none"/>
                <w:lang w:eastAsia="zh-CN"/>
              </w:rPr>
              <w:t>耕地、</w:t>
            </w:r>
            <w:r>
              <w:rPr>
                <w:rFonts w:hint="default" w:ascii="Times New Roman" w:hAnsi="Times New Roman" w:eastAsia="宋体" w:cs="Times New Roman"/>
                <w:color w:val="auto"/>
                <w:sz w:val="24"/>
                <w:szCs w:val="24"/>
                <w:highlight w:val="none"/>
                <w:lang w:eastAsia="zh-CN"/>
              </w:rPr>
              <w:t>林地</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不会对区域地表植被造成破坏</w:t>
            </w:r>
            <w:r>
              <w:rPr>
                <w:rFonts w:hint="default" w:ascii="Times New Roman" w:hAnsi="Times New Roman" w:eastAsia="宋体" w:cs="Times New Roman"/>
                <w:color w:val="auto"/>
                <w:sz w:val="24"/>
                <w:szCs w:val="24"/>
                <w:highlight w:val="none"/>
                <w:lang w:eastAsia="zh-CN"/>
              </w:rPr>
              <w:t>；③项目为</w:t>
            </w:r>
            <w:r>
              <w:rPr>
                <w:rFonts w:hint="eastAsia" w:ascii="Times New Roman" w:hAnsi="Times New Roman" w:eastAsia="宋体" w:cs="Times New Roman"/>
                <w:color w:val="auto"/>
                <w:sz w:val="24"/>
                <w:szCs w:val="24"/>
                <w:highlight w:val="none"/>
                <w:lang w:val="en-US" w:eastAsia="zh-CN"/>
              </w:rPr>
              <w:t>石膏线条生产</w:t>
            </w:r>
            <w:r>
              <w:rPr>
                <w:rFonts w:hint="default" w:ascii="Times New Roman" w:hAnsi="Times New Roman" w:eastAsia="宋体" w:cs="Times New Roman"/>
                <w:color w:val="auto"/>
                <w:sz w:val="24"/>
                <w:szCs w:val="24"/>
                <w:highlight w:val="none"/>
                <w:lang w:eastAsia="zh-CN"/>
              </w:rPr>
              <w:t>项目，不属于矿山开采类企业；④项目在</w:t>
            </w:r>
            <w:r>
              <w:rPr>
                <w:rFonts w:hint="default" w:ascii="Times New Roman" w:hAnsi="Times New Roman" w:eastAsia="宋体" w:cs="Times New Roman"/>
                <w:color w:val="auto"/>
                <w:sz w:val="24"/>
                <w:szCs w:val="24"/>
                <w:highlight w:val="none"/>
              </w:rPr>
              <w:t>采取环评规定的环境保护措施后，</w:t>
            </w:r>
            <w:r>
              <w:rPr>
                <w:rFonts w:hint="default" w:ascii="Times New Roman" w:hAnsi="Times New Roman" w:eastAsia="宋体" w:cs="Times New Roman"/>
                <w:color w:val="auto"/>
                <w:sz w:val="24"/>
                <w:szCs w:val="24"/>
                <w:highlight w:val="none"/>
                <w:lang w:eastAsia="zh-CN"/>
              </w:rPr>
              <w:t>大大减少污染物排放量，</w:t>
            </w:r>
            <w:r>
              <w:rPr>
                <w:rFonts w:hint="default" w:ascii="Times New Roman" w:hAnsi="Times New Roman" w:eastAsia="宋体" w:cs="Times New Roman"/>
                <w:color w:val="auto"/>
                <w:sz w:val="24"/>
                <w:szCs w:val="24"/>
                <w:highlight w:val="none"/>
              </w:rPr>
              <w:t>对区域生态环境影响较小</w:t>
            </w:r>
            <w:r>
              <w:rPr>
                <w:rFonts w:hint="default" w:ascii="Times New Roman" w:hAnsi="Times New Roman" w:eastAsia="宋体" w:cs="Times New Roman"/>
                <w:color w:val="auto"/>
                <w:sz w:val="24"/>
                <w:szCs w:val="24"/>
                <w:highlight w:val="none"/>
                <w:lang w:eastAsia="zh-CN"/>
              </w:rPr>
              <w:t>。综上，项目</w:t>
            </w:r>
            <w:r>
              <w:rPr>
                <w:rFonts w:hint="default" w:ascii="Times New Roman" w:hAnsi="Times New Roman" w:eastAsia="宋体" w:cs="Times New Roman"/>
                <w:color w:val="auto"/>
                <w:sz w:val="24"/>
                <w:szCs w:val="24"/>
                <w:highlight w:val="none"/>
              </w:rPr>
              <w:t>不违反</w:t>
            </w:r>
            <w:r>
              <w:rPr>
                <w:color w:val="auto"/>
                <w:spacing w:val="4"/>
                <w:sz w:val="24"/>
                <w:szCs w:val="32"/>
                <w:highlight w:val="none"/>
              </w:rPr>
              <w:t>繁峙县滹沱河沿岸山地丘陵区水土保持</w:t>
            </w:r>
            <w:r>
              <w:rPr>
                <w:rFonts w:hint="eastAsia"/>
                <w:color w:val="auto"/>
                <w:spacing w:val="4"/>
                <w:sz w:val="24"/>
                <w:szCs w:val="32"/>
                <w:highlight w:val="none"/>
                <w:lang w:val="en-US" w:eastAsia="zh-CN"/>
              </w:rPr>
              <w:t>生态</w:t>
            </w:r>
            <w:r>
              <w:rPr>
                <w:rFonts w:hint="default" w:ascii="Times New Roman" w:hAnsi="Times New Roman" w:eastAsia="宋体" w:cs="Times New Roman"/>
                <w:color w:val="auto"/>
                <w:sz w:val="24"/>
                <w:highlight w:val="none"/>
              </w:rPr>
              <w:t>功能小区</w:t>
            </w:r>
            <w:r>
              <w:rPr>
                <w:rFonts w:hint="default" w:ascii="Times New Roman" w:hAnsi="Times New Roman" w:eastAsia="宋体" w:cs="Times New Roman"/>
                <w:color w:val="auto"/>
                <w:sz w:val="24"/>
                <w:szCs w:val="24"/>
                <w:highlight w:val="none"/>
              </w:rPr>
              <w:t>的要求。</w:t>
            </w:r>
          </w:p>
          <w:p>
            <w:pPr>
              <w:pStyle w:val="10"/>
              <w:adjustRightInd w:val="0"/>
              <w:snapToGrid w:val="0"/>
              <w:spacing w:line="360" w:lineRule="auto"/>
              <w:ind w:firstLine="480" w:firstLineChars="200"/>
              <w:rPr>
                <w:rFonts w:ascii="Times New Roman" w:hAnsi="Times New Roman"/>
                <w:color w:val="auto"/>
                <w:sz w:val="24"/>
                <w:szCs w:val="32"/>
                <w:highlight w:val="none"/>
                <w:lang w:val="en-US"/>
              </w:rPr>
            </w:pPr>
            <w:r>
              <w:rPr>
                <w:rFonts w:hint="eastAsia" w:ascii="Times New Roman" w:hAnsi="Times New Roman"/>
                <w:color w:val="auto"/>
                <w:sz w:val="24"/>
                <w:szCs w:val="32"/>
                <w:highlight w:val="none"/>
                <w:lang w:val="en-US"/>
              </w:rPr>
              <w:t>项目与繁峙县生态功能区划图位置关系见</w:t>
            </w:r>
            <w:r>
              <w:rPr>
                <w:rFonts w:hint="eastAsia" w:ascii="Times New Roman" w:hAnsi="Times New Roman"/>
                <w:color w:val="auto"/>
                <w:sz w:val="24"/>
                <w:szCs w:val="32"/>
                <w:highlight w:val="none"/>
                <w:lang w:val="en-US" w:eastAsia="zh-CN"/>
              </w:rPr>
              <w:t>附图7</w:t>
            </w:r>
            <w:r>
              <w:rPr>
                <w:rFonts w:hint="eastAsia" w:ascii="Times New Roman" w:hAnsi="Times New Roman"/>
                <w:color w:val="auto"/>
                <w:sz w:val="24"/>
                <w:szCs w:val="32"/>
                <w:highlight w:val="none"/>
                <w:lang w:val="en-US"/>
              </w:rPr>
              <w:t>。</w:t>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baseline"/>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4、与《繁峙县生态经济区划》的符合性分析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根据《繁峙县生态经济区划报告》，本项目位于</w:t>
            </w:r>
            <w:r>
              <w:rPr>
                <w:rFonts w:hint="eastAsia" w:cs="Times New Roman"/>
                <w:color w:val="auto"/>
                <w:sz w:val="24"/>
                <w:highlight w:val="none"/>
                <w:lang w:eastAsia="zh-CN"/>
              </w:rPr>
              <w:t>Ⅲ</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rPr>
              <w:t>繁峙县</w:t>
            </w:r>
            <w:r>
              <w:rPr>
                <w:rFonts w:hint="default" w:ascii="Times New Roman" w:hAnsi="Times New Roman" w:eastAsia="宋体" w:cs="Times New Roman"/>
                <w:color w:val="auto"/>
                <w:sz w:val="24"/>
                <w:szCs w:val="24"/>
                <w:highlight w:val="none"/>
                <w:lang w:val="en-US" w:eastAsia="zh-CN"/>
              </w:rPr>
              <w:t>东南部</w:t>
            </w:r>
            <w:r>
              <w:rPr>
                <w:rFonts w:hint="default" w:ascii="Times New Roman" w:hAnsi="Times New Roman" w:eastAsia="宋体" w:cs="Times New Roman"/>
                <w:color w:val="auto"/>
                <w:sz w:val="24"/>
                <w:szCs w:val="24"/>
                <w:highlight w:val="none"/>
                <w:lang w:val="en-US"/>
              </w:rPr>
              <w:t>生态</w:t>
            </w:r>
            <w:r>
              <w:rPr>
                <w:rFonts w:hint="default" w:ascii="Times New Roman" w:hAnsi="Times New Roman" w:eastAsia="宋体" w:cs="Times New Roman"/>
                <w:color w:val="auto"/>
                <w:sz w:val="24"/>
                <w:szCs w:val="24"/>
                <w:highlight w:val="none"/>
                <w:lang w:val="en-US" w:eastAsia="zh-CN"/>
              </w:rPr>
              <w:t>工业</w:t>
            </w:r>
            <w:r>
              <w:rPr>
                <w:rFonts w:hint="default" w:ascii="Times New Roman" w:hAnsi="Times New Roman" w:eastAsia="宋体" w:cs="Times New Roman"/>
                <w:color w:val="auto"/>
                <w:sz w:val="24"/>
                <w:szCs w:val="24"/>
                <w:highlight w:val="none"/>
                <w:lang w:val="en-US"/>
              </w:rPr>
              <w:t>经济区。</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生态环境特征</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该区域植被状况一般，植被覆盖度在20%-40%，植被类型主要为以低覆盖草、栽培植被为主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地貌类型主要为大起伏侵蚀高中山、洪积倾斜平原、大起伏侵蚀中山</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该区域有丰富的铁矿、磷矿、泥炭矿、云母等矿产资源分布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该区为水资源较丰富分布区域。 </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生态服务功能</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水土保持</w:t>
            </w:r>
            <w:r>
              <w:rPr>
                <w:rFonts w:hint="default" w:ascii="Times New Roman" w:hAnsi="Times New Roman" w:eastAsia="宋体" w:cs="Times New Roman"/>
                <w:color w:val="auto"/>
                <w:sz w:val="24"/>
                <w:szCs w:val="24"/>
                <w:highlight w:val="none"/>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生态环境敏感性</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该区大部分区为轻中度敏感。</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鼓励</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鼓励发展生态型、清洁型铁矿资源的开采以及加工业</w:t>
            </w:r>
            <w:r>
              <w:rPr>
                <w:rFonts w:hint="eastAsia" w:ascii="Times New Roman" w:hAnsi="Times New Roman" w:eastAsia="宋体" w:cs="Times New Roman"/>
                <w:color w:val="auto"/>
                <w:sz w:val="24"/>
                <w:szCs w:val="24"/>
                <w:highlight w:val="none"/>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生态环境保护要求</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对小区内蕴藏的矿产资源的开发要制定开发与保护规划，指导区域矿业可持续开发</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引进先进的开采技术和管理经验，实施绿色开采和积极开展矿山的生态恢复</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铁矿加工业应完善环保设施的建设与监管，控制废气、废水、固废等对周围环境的影响。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lang w:eastAsia="zh-CN"/>
              </w:rPr>
              <w:t>对照生态经济小区保护要求，</w:t>
            </w:r>
            <w:r>
              <w:rPr>
                <w:rFonts w:hint="default" w:ascii="Times New Roman" w:hAnsi="Times New Roman" w:cs="Times New Roman"/>
                <w:color w:val="auto"/>
                <w:sz w:val="24"/>
                <w:highlight w:val="none"/>
              </w:rPr>
              <w:t>符合性分析如下：①本项目通过加强环保措施后，污染物排放量大大减少，对区域环境影响较小，不属于区域限制类项目；②项目为</w:t>
            </w:r>
            <w:r>
              <w:rPr>
                <w:rFonts w:hint="eastAsia" w:cs="Times New Roman"/>
                <w:color w:val="auto"/>
                <w:sz w:val="24"/>
                <w:highlight w:val="none"/>
                <w:lang w:val="en-US" w:eastAsia="zh-CN"/>
              </w:rPr>
              <w:t>石膏线生产</w:t>
            </w:r>
            <w:r>
              <w:rPr>
                <w:rFonts w:hint="default" w:ascii="Times New Roman" w:hAnsi="Times New Roman" w:cs="Times New Roman"/>
                <w:color w:val="auto"/>
                <w:sz w:val="24"/>
                <w:highlight w:val="none"/>
              </w:rPr>
              <w:t>项目，不违背区域发展方向；③项</w:t>
            </w:r>
            <w:r>
              <w:rPr>
                <w:rFonts w:hint="eastAsia" w:cs="Times New Roman"/>
                <w:color w:val="auto"/>
                <w:sz w:val="24"/>
                <w:highlight w:val="none"/>
                <w:lang w:val="en-US" w:eastAsia="zh-CN"/>
              </w:rPr>
              <w:t>目占地为工矿用地</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用地现状</w:t>
            </w:r>
            <w:r>
              <w:rPr>
                <w:rFonts w:hint="default" w:ascii="Times New Roman" w:hAnsi="Times New Roman" w:cs="Times New Roman"/>
                <w:color w:val="auto"/>
                <w:sz w:val="24"/>
                <w:highlight w:val="none"/>
              </w:rPr>
              <w:t>植被覆盖率</w:t>
            </w:r>
            <w:r>
              <w:rPr>
                <w:rFonts w:hint="default" w:ascii="Times New Roman" w:hAnsi="Times New Roman" w:cs="Times New Roman"/>
                <w:color w:val="auto"/>
                <w:sz w:val="24"/>
                <w:highlight w:val="none"/>
                <w:lang w:eastAsia="zh-CN"/>
              </w:rPr>
              <w:t>较低</w:t>
            </w:r>
            <w:r>
              <w:rPr>
                <w:rFonts w:hint="default" w:ascii="Times New Roman" w:hAnsi="Times New Roman" w:cs="Times New Roman"/>
                <w:color w:val="auto"/>
                <w:sz w:val="24"/>
                <w:highlight w:val="none"/>
              </w:rPr>
              <w:t>，项目建成后，通过加强厂区绿化，对区域植被覆盖率有一定的改善。综上，本项目不违背</w:t>
            </w:r>
            <w:r>
              <w:rPr>
                <w:rFonts w:hint="eastAsia" w:cs="Times New Roman"/>
                <w:color w:val="auto"/>
                <w:sz w:val="24"/>
                <w:highlight w:val="none"/>
                <w:lang w:eastAsia="zh-CN"/>
              </w:rPr>
              <w:t>Ⅲ</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rPr>
              <w:t>繁峙县</w:t>
            </w:r>
            <w:r>
              <w:rPr>
                <w:rFonts w:hint="default" w:ascii="Times New Roman" w:hAnsi="Times New Roman" w:eastAsia="宋体" w:cs="Times New Roman"/>
                <w:color w:val="auto"/>
                <w:sz w:val="24"/>
                <w:szCs w:val="24"/>
                <w:highlight w:val="none"/>
                <w:lang w:val="en-US" w:eastAsia="zh-CN"/>
              </w:rPr>
              <w:t>东南部</w:t>
            </w:r>
            <w:r>
              <w:rPr>
                <w:rFonts w:hint="default" w:ascii="Times New Roman" w:hAnsi="Times New Roman" w:eastAsia="宋体" w:cs="Times New Roman"/>
                <w:color w:val="auto"/>
                <w:sz w:val="24"/>
                <w:szCs w:val="24"/>
                <w:highlight w:val="none"/>
                <w:lang w:val="en-US"/>
              </w:rPr>
              <w:t>生态</w:t>
            </w:r>
            <w:r>
              <w:rPr>
                <w:rFonts w:hint="default" w:ascii="Times New Roman" w:hAnsi="Times New Roman" w:eastAsia="宋体" w:cs="Times New Roman"/>
                <w:color w:val="auto"/>
                <w:sz w:val="24"/>
                <w:szCs w:val="24"/>
                <w:highlight w:val="none"/>
                <w:lang w:val="en-US" w:eastAsia="zh-CN"/>
              </w:rPr>
              <w:t>工业</w:t>
            </w:r>
            <w:r>
              <w:rPr>
                <w:rFonts w:hint="default" w:ascii="Times New Roman" w:hAnsi="Times New Roman" w:eastAsia="宋体" w:cs="Times New Roman"/>
                <w:color w:val="auto"/>
                <w:sz w:val="24"/>
                <w:szCs w:val="24"/>
                <w:highlight w:val="none"/>
                <w:lang w:val="en-US"/>
              </w:rPr>
              <w:t>经济区</w:t>
            </w:r>
            <w:r>
              <w:rPr>
                <w:rFonts w:hint="default" w:ascii="Times New Roman" w:hAnsi="Times New Roman" w:cs="Times New Roman"/>
                <w:color w:val="auto"/>
                <w:sz w:val="24"/>
                <w:highlight w:val="none"/>
              </w:rPr>
              <w:t>的发展要求。</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auto"/>
                <w:sz w:val="24"/>
                <w:szCs w:val="32"/>
                <w:highlight w:val="none"/>
                <w:lang w:val="en-US"/>
              </w:rPr>
            </w:pPr>
            <w:r>
              <w:rPr>
                <w:rFonts w:hint="eastAsia" w:ascii="Times New Roman" w:hAnsi="Times New Roman"/>
                <w:color w:val="auto"/>
                <w:sz w:val="24"/>
                <w:szCs w:val="32"/>
                <w:highlight w:val="none"/>
                <w:lang w:val="en-US"/>
              </w:rPr>
              <w:t>项目与繁峙县生态</w:t>
            </w:r>
            <w:r>
              <w:rPr>
                <w:rFonts w:hint="eastAsia" w:ascii="Times New Roman" w:hAnsi="Times New Roman"/>
                <w:color w:val="auto"/>
                <w:sz w:val="24"/>
                <w:szCs w:val="32"/>
                <w:highlight w:val="none"/>
                <w:lang w:val="en-US" w:eastAsia="zh-CN"/>
              </w:rPr>
              <w:t>经济</w:t>
            </w:r>
            <w:r>
              <w:rPr>
                <w:rFonts w:hint="eastAsia" w:ascii="Times New Roman" w:hAnsi="Times New Roman"/>
                <w:color w:val="auto"/>
                <w:sz w:val="24"/>
                <w:szCs w:val="32"/>
                <w:highlight w:val="none"/>
                <w:lang w:val="en-US"/>
              </w:rPr>
              <w:t>区划图位置关系见</w:t>
            </w:r>
            <w:r>
              <w:rPr>
                <w:rFonts w:hint="eastAsia" w:ascii="Times New Roman" w:hAnsi="Times New Roman"/>
                <w:color w:val="auto"/>
                <w:sz w:val="24"/>
                <w:szCs w:val="32"/>
                <w:highlight w:val="none"/>
                <w:lang w:val="en-US" w:eastAsia="zh-CN"/>
              </w:rPr>
              <w:t>附图8</w:t>
            </w:r>
            <w:r>
              <w:rPr>
                <w:rFonts w:hint="eastAsia" w:ascii="Times New Roman" w:hAnsi="Times New Roman"/>
                <w:color w:val="auto"/>
                <w:sz w:val="24"/>
                <w:szCs w:val="32"/>
                <w:highlight w:val="none"/>
                <w:lang w:val="en-US"/>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5、与</w:t>
            </w:r>
            <w:r>
              <w:rPr>
                <w:rFonts w:hint="default" w:ascii="Times New Roman" w:hAnsi="Times New Roman" w:cs="Times New Roman"/>
                <w:b/>
                <w:color w:val="auto"/>
                <w:sz w:val="24"/>
                <w:szCs w:val="24"/>
                <w:highlight w:val="none"/>
              </w:rPr>
              <w:t xml:space="preserve"> “三线一单”符合性</w:t>
            </w:r>
            <w:r>
              <w:rPr>
                <w:rFonts w:hint="eastAsia" w:cs="Times New Roman"/>
                <w:b/>
                <w:color w:val="auto"/>
                <w:sz w:val="24"/>
                <w:szCs w:val="24"/>
                <w:highlight w:val="none"/>
                <w:lang w:val="en-US" w:eastAsia="zh-CN"/>
              </w:rPr>
              <w:t>分析</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（1）生态保护红线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本项目不在自然保护区、风景名胜区、饮用水水源保护区、森林公园、地质公园等重要生态功能区、生态敏感区和脆弱区以及其他要求禁止建设的环境敏感区内，</w:t>
            </w:r>
            <w:r>
              <w:rPr>
                <w:rFonts w:hint="default" w:ascii="Times New Roman" w:hAnsi="Times New Roman" w:cs="Times New Roman"/>
                <w:bCs/>
                <w:color w:val="auto"/>
                <w:sz w:val="24"/>
                <w:szCs w:val="24"/>
                <w:highlight w:val="none"/>
              </w:rPr>
              <w:t>符合生态保护红线要求。</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（2）环境质量底线</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根据繁峙县</w:t>
            </w:r>
            <w:r>
              <w:rPr>
                <w:rFonts w:hint="default" w:ascii="Times New Roman" w:hAnsi="Times New Roman" w:cs="Times New Roman"/>
                <w:color w:val="auto"/>
                <w:kern w:val="0"/>
                <w:sz w:val="24"/>
                <w:szCs w:val="24"/>
                <w:highlight w:val="none"/>
              </w:rPr>
              <w:t>20</w:t>
            </w:r>
            <w:r>
              <w:rPr>
                <w:rFonts w:hint="eastAsia" w:ascii="Times New Roman" w:hAnsi="Times New Roman" w:cs="Times New Roman"/>
                <w:color w:val="auto"/>
                <w:kern w:val="0"/>
                <w:sz w:val="24"/>
                <w:szCs w:val="24"/>
                <w:highlight w:val="none"/>
                <w:lang w:val="en-US" w:eastAsia="zh-CN"/>
              </w:rPr>
              <w:t>2</w:t>
            </w:r>
            <w:r>
              <w:rPr>
                <w:rFonts w:hint="eastAsia"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rPr>
              <w:t>年全年例行</w:t>
            </w:r>
            <w:r>
              <w:rPr>
                <w:rFonts w:hint="default" w:ascii="Times New Roman" w:hAnsi="Times New Roman" w:cs="Times New Roman"/>
                <w:color w:val="auto"/>
                <w:sz w:val="24"/>
                <w:szCs w:val="24"/>
                <w:highlight w:val="none"/>
              </w:rPr>
              <w:t>监测数据，区域内PM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监测因子超标</w:t>
            </w:r>
            <w:r>
              <w:rPr>
                <w:rFonts w:hint="default" w:ascii="Times New Roman" w:hAnsi="Times New Roman" w:cs="Times New Roman"/>
                <w:bCs/>
                <w:color w:val="auto"/>
                <w:sz w:val="24"/>
                <w:szCs w:val="24"/>
                <w:highlight w:val="none"/>
              </w:rPr>
              <w:t>，区域环境空气质量不达标。</w:t>
            </w:r>
            <w:r>
              <w:rPr>
                <w:rFonts w:hint="eastAsia" w:ascii="Times New Roman" w:hAnsi="Times New Roman" w:cs="Times New Roman"/>
                <w:bCs/>
                <w:color w:val="auto"/>
                <w:sz w:val="24"/>
                <w:szCs w:val="24"/>
                <w:highlight w:val="none"/>
                <w:lang w:val="en-US" w:eastAsia="zh-CN"/>
              </w:rPr>
              <w:t>根据特征因子补充监测报告，</w:t>
            </w:r>
            <w:r>
              <w:rPr>
                <w:rFonts w:hint="default" w:ascii="Times New Roman" w:hAnsi="Times New Roman" w:cs="Times New Roman"/>
                <w:bCs/>
                <w:color w:val="auto"/>
                <w:sz w:val="24"/>
                <w:szCs w:val="24"/>
                <w:highlight w:val="none"/>
              </w:rPr>
              <w:t>TSP满足</w:t>
            </w:r>
            <w:r>
              <w:rPr>
                <w:rFonts w:hint="default" w:ascii="Times New Roman" w:hAnsi="Times New Roman" w:cs="Times New Roman"/>
                <w:color w:val="auto"/>
                <w:sz w:val="24"/>
                <w:szCs w:val="24"/>
                <w:highlight w:val="none"/>
              </w:rPr>
              <w:t>《环境空气质量标准》（GB3095-2012）中的二级标准。</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lang w:eastAsia="zh-CN"/>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忻州市20</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12月份及全年</w:t>
            </w:r>
            <w:r>
              <w:rPr>
                <w:rFonts w:hint="default" w:ascii="Times New Roman" w:hAnsi="Times New Roman" w:eastAsia="宋体" w:cs="Times New Roman"/>
                <w:color w:val="auto"/>
                <w:sz w:val="24"/>
                <w:szCs w:val="24"/>
                <w:highlight w:val="none"/>
              </w:rPr>
              <w:t>地表水</w:t>
            </w:r>
            <w:r>
              <w:rPr>
                <w:rFonts w:hint="eastAsia" w:cs="Times New Roman"/>
                <w:color w:val="auto"/>
                <w:sz w:val="24"/>
                <w:szCs w:val="24"/>
                <w:highlight w:val="none"/>
                <w:lang w:eastAsia="zh-CN"/>
              </w:rPr>
              <w:t>环境质量的通报</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（忻</w:t>
            </w:r>
            <w:r>
              <w:rPr>
                <w:rFonts w:hint="eastAsia" w:cs="Times New Roman"/>
                <w:color w:val="auto"/>
                <w:sz w:val="24"/>
                <w:szCs w:val="24"/>
                <w:highlight w:val="none"/>
                <w:lang w:val="en-US" w:eastAsia="zh-CN"/>
              </w:rPr>
              <w:t>污</w:t>
            </w:r>
            <w:r>
              <w:rPr>
                <w:rFonts w:hint="eastAsia" w:cs="Times New Roman"/>
                <w:color w:val="auto"/>
                <w:sz w:val="24"/>
                <w:szCs w:val="24"/>
                <w:highlight w:val="none"/>
                <w:lang w:eastAsia="zh-CN"/>
              </w:rPr>
              <w:t>防办发〔</w:t>
            </w:r>
            <w:r>
              <w:rPr>
                <w:rFonts w:hint="eastAsia" w:cs="Times New Roman"/>
                <w:color w:val="auto"/>
                <w:sz w:val="24"/>
                <w:szCs w:val="24"/>
                <w:highlight w:val="none"/>
                <w:lang w:val="en-US" w:eastAsia="zh-CN"/>
              </w:rPr>
              <w:t>2022〕1号</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最近省考断面（</w:t>
            </w:r>
            <w:r>
              <w:rPr>
                <w:rFonts w:hint="eastAsia" w:cs="Times New Roman"/>
                <w:color w:val="auto"/>
                <w:sz w:val="24"/>
                <w:szCs w:val="24"/>
                <w:highlight w:val="none"/>
                <w:lang w:val="en-US" w:eastAsia="zh-CN"/>
              </w:rPr>
              <w:t>下茹越</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为V类</w:t>
            </w:r>
            <w:r>
              <w:rPr>
                <w:rFonts w:hint="eastAsia" w:cs="Times New Roman"/>
                <w:color w:val="auto"/>
                <w:sz w:val="24"/>
                <w:szCs w:val="24"/>
                <w:highlight w:val="none"/>
                <w:lang w:eastAsia="zh-CN"/>
              </w:rPr>
              <w:t>水质</w:t>
            </w:r>
            <w:r>
              <w:rPr>
                <w:rFonts w:hint="default" w:ascii="Times New Roman" w:hAnsi="Times New Roman" w:eastAsia="宋体" w:cs="Times New Roman"/>
                <w:color w:val="auto"/>
                <w:sz w:val="24"/>
                <w:szCs w:val="24"/>
                <w:highlight w:val="none"/>
              </w:rPr>
              <w:t>。</w:t>
            </w:r>
          </w:p>
          <w:p>
            <w:pPr>
              <w:pStyle w:val="5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auto"/>
                <w:kern w:val="2"/>
                <w:sz w:val="24"/>
                <w:szCs w:val="24"/>
                <w:highlight w:val="none"/>
                <w:lang w:val="en-US" w:bidi="ar-SA"/>
              </w:rPr>
            </w:pPr>
            <w:r>
              <w:rPr>
                <w:rFonts w:ascii="Times New Roman" w:hAnsi="Times New Roman" w:eastAsia="宋体" w:cs="Times New Roman"/>
                <w:color w:val="auto"/>
                <w:kern w:val="2"/>
                <w:sz w:val="24"/>
                <w:szCs w:val="24"/>
                <w:highlight w:val="none"/>
                <w:lang w:val="en-US" w:bidi="ar-SA"/>
              </w:rPr>
              <w:t>本项目厂界外周边50m范围内无声环境保护目标。</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ascii="Times New Roman" w:hAnsi="Times New Roman" w:eastAsia="宋体" w:cs="Times New Roman"/>
                <w:color w:val="auto"/>
                <w:sz w:val="24"/>
                <w:szCs w:val="24"/>
                <w:highlight w:val="none"/>
                <w:lang w:val="en-US"/>
              </w:rPr>
              <w:t>综上所述，项目采取环评提出的环保措施后，</w:t>
            </w:r>
            <w:r>
              <w:rPr>
                <w:rFonts w:hint="default" w:ascii="Times New Roman" w:hAnsi="Times New Roman" w:cs="Times New Roman"/>
                <w:color w:val="auto"/>
                <w:sz w:val="24"/>
                <w:szCs w:val="24"/>
                <w:highlight w:val="none"/>
              </w:rPr>
              <w:t>大气污染物能够达标排放，废水不外排，噪声能达标排放，</w:t>
            </w:r>
            <w:r>
              <w:rPr>
                <w:rFonts w:ascii="Times New Roman" w:hAnsi="Times New Roman" w:eastAsia="宋体" w:cs="Times New Roman"/>
                <w:color w:val="auto"/>
                <w:sz w:val="24"/>
                <w:szCs w:val="24"/>
                <w:highlight w:val="none"/>
                <w:lang w:val="en-US"/>
              </w:rPr>
              <w:t>对区域环境质量影响较小，</w:t>
            </w:r>
            <w:r>
              <w:rPr>
                <w:rFonts w:hint="default" w:ascii="Times New Roman" w:hAnsi="Times New Roman" w:cs="Times New Roman"/>
                <w:color w:val="auto"/>
                <w:sz w:val="24"/>
                <w:szCs w:val="24"/>
                <w:highlight w:val="none"/>
              </w:rPr>
              <w:t>符合环境质量底线要求。</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（3）资源利用上线</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sz w:val="24"/>
                <w:szCs w:val="24"/>
                <w:highlight w:val="none"/>
                <w:lang w:val="en-US"/>
              </w:rPr>
              <w:t>本项目</w:t>
            </w:r>
            <w:r>
              <w:rPr>
                <w:rFonts w:hint="eastAsia" w:eastAsia="宋体" w:cs="Times New Roman"/>
                <w:color w:val="auto"/>
                <w:sz w:val="24"/>
                <w:szCs w:val="24"/>
                <w:highlight w:val="none"/>
                <w:lang w:val="en-US" w:eastAsia="zh-CN"/>
              </w:rPr>
              <w:t>用地性质为</w:t>
            </w:r>
            <w:r>
              <w:rPr>
                <w:rFonts w:hint="eastAsia" w:cs="Times New Roman"/>
                <w:color w:val="auto"/>
                <w:sz w:val="24"/>
                <w:szCs w:val="24"/>
                <w:highlight w:val="none"/>
                <w:lang w:val="en-US" w:eastAsia="zh-CN"/>
              </w:rPr>
              <w:t>工矿</w:t>
            </w:r>
            <w:r>
              <w:rPr>
                <w:rFonts w:hint="eastAsia" w:eastAsia="宋体" w:cs="Times New Roman"/>
                <w:color w:val="auto"/>
                <w:sz w:val="24"/>
                <w:szCs w:val="24"/>
                <w:highlight w:val="none"/>
                <w:lang w:val="en-US" w:eastAsia="zh-CN"/>
              </w:rPr>
              <w:t>用地，</w:t>
            </w:r>
            <w:r>
              <w:rPr>
                <w:rFonts w:hint="eastAsia" w:ascii="Times New Roman" w:hAnsi="Times New Roman" w:eastAsia="宋体" w:cs="Times New Roman"/>
                <w:color w:val="auto"/>
                <w:sz w:val="24"/>
                <w:szCs w:val="24"/>
                <w:highlight w:val="none"/>
                <w:lang w:val="en-US"/>
              </w:rPr>
              <w:t>占地面积较小，不会突破土地利用上线要求</w:t>
            </w:r>
            <w:r>
              <w:rPr>
                <w:rFonts w:hint="eastAsia"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本项目原材料主要为</w:t>
            </w:r>
            <w:r>
              <w:rPr>
                <w:rFonts w:hint="eastAsia" w:ascii="Times New Roman" w:hAnsi="Times New Roman" w:cs="Times New Roman"/>
                <w:color w:val="auto"/>
                <w:sz w:val="24"/>
                <w:szCs w:val="24"/>
                <w:highlight w:val="none"/>
                <w:lang w:val="en-US" w:eastAsia="zh-CN"/>
              </w:rPr>
              <w:t>石膏</w:t>
            </w:r>
            <w:r>
              <w:rPr>
                <w:rFonts w:hint="default" w:ascii="Times New Roman" w:hAnsi="Times New Roman" w:cs="Times New Roman"/>
                <w:color w:val="auto"/>
                <w:sz w:val="24"/>
                <w:szCs w:val="24"/>
                <w:highlight w:val="none"/>
              </w:rPr>
              <w:t>、水、电等资源，资源消耗量相对区域资源利用总量较少，符合资源利用上线的要求。</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（4）环境准入负面清单</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本项目地区未设置环境准入负面清单。</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本项目属于《产业政策调整指导目录（2019年本）》中允许类项目，不违背环境准入负面清单的原则要求。</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因此，本项目的建设符合国家“三线一单”的管控原则。</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6、与</w:t>
            </w:r>
            <w:r>
              <w:rPr>
                <w:rFonts w:hint="default" w:ascii="Times New Roman" w:hAnsi="Times New Roman" w:eastAsia="宋体" w:cs="Times New Roman"/>
                <w:b/>
                <w:color w:val="auto"/>
                <w:sz w:val="24"/>
                <w:szCs w:val="24"/>
                <w:highlight w:val="none"/>
                <w:lang w:val="en-US" w:eastAsia="zh-CN"/>
              </w:rPr>
              <w:t>忻州市人民政府</w:t>
            </w:r>
            <w:r>
              <w:rPr>
                <w:rFonts w:hint="default" w:ascii="Times New Roman" w:hAnsi="Times New Roman" w:eastAsia="宋体" w:cs="Times New Roman"/>
                <w:b/>
                <w:bCs w:val="0"/>
                <w:color w:val="auto"/>
                <w:sz w:val="24"/>
                <w:szCs w:val="24"/>
                <w:highlight w:val="none"/>
              </w:rPr>
              <w:t>关于印发《“三线一单”生态环境分区管控实施方案的通知》</w:t>
            </w:r>
            <w:r>
              <w:rPr>
                <w:rFonts w:hint="default" w:ascii="Times New Roman" w:hAnsi="Times New Roman" w:eastAsia="宋体" w:cs="Times New Roman"/>
                <w:b/>
                <w:bCs w:val="0"/>
                <w:color w:val="auto"/>
                <w:sz w:val="24"/>
                <w:szCs w:val="24"/>
                <w:highlight w:val="none"/>
                <w:lang w:eastAsia="zh-CN"/>
              </w:rPr>
              <w:t>（忻</w:t>
            </w:r>
            <w:r>
              <w:rPr>
                <w:rFonts w:hint="default" w:ascii="Times New Roman" w:hAnsi="Times New Roman" w:eastAsia="宋体" w:cs="Times New Roman"/>
                <w:b/>
                <w:bCs w:val="0"/>
                <w:color w:val="auto"/>
                <w:sz w:val="24"/>
                <w:szCs w:val="24"/>
                <w:highlight w:val="none"/>
              </w:rPr>
              <w:t>政发</w:t>
            </w:r>
            <w:r>
              <w:rPr>
                <w:rFonts w:hint="eastAsia"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rPr>
              <w:t>2021</w:t>
            </w:r>
            <w:r>
              <w:rPr>
                <w:rFonts w:hint="eastAsia"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12</w:t>
            </w:r>
            <w:r>
              <w:rPr>
                <w:rFonts w:hint="default" w:ascii="Times New Roman" w:hAnsi="Times New Roman" w:eastAsia="宋体" w:cs="Times New Roman"/>
                <w:b/>
                <w:bCs w:val="0"/>
                <w:color w:val="auto"/>
                <w:sz w:val="24"/>
                <w:szCs w:val="24"/>
                <w:highlight w:val="none"/>
              </w:rPr>
              <w:t>号</w:t>
            </w: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color w:val="auto"/>
                <w:sz w:val="24"/>
                <w:szCs w:val="24"/>
                <w:highlight w:val="none"/>
                <w:lang w:val="en-US" w:eastAsia="zh-CN"/>
              </w:rPr>
              <w:t>的相关要求</w:t>
            </w:r>
            <w:r>
              <w:rPr>
                <w:rFonts w:hint="eastAsia" w:cs="Times New Roman"/>
                <w:b/>
                <w:color w:val="auto"/>
                <w:sz w:val="24"/>
                <w:szCs w:val="24"/>
                <w:highlight w:val="none"/>
                <w:lang w:val="en-US" w:eastAsia="zh-CN"/>
              </w:rPr>
              <w:t>的符合性分析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2021年6月29日忻州市人民政府发布了忻政发[2021]12 号文</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关于印发忻州市</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 三线一单</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生态环境分区管控实施方案的通知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（1）管控单元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根据忻政发</w:t>
            </w:r>
            <w:r>
              <w:rPr>
                <w:rFonts w:hint="eastAsia"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2021</w:t>
            </w:r>
            <w:r>
              <w:rPr>
                <w:rFonts w:hint="eastAsia"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12号文件要求</w:t>
            </w:r>
            <w:r>
              <w:rPr>
                <w:rFonts w:hint="default" w:ascii="Times New Roman" w:hAnsi="Times New Roman" w:eastAsia="宋体" w:cs="Times New Roman"/>
                <w:bCs/>
                <w:color w:val="auto"/>
                <w:sz w:val="24"/>
                <w:szCs w:val="24"/>
                <w:highlight w:val="none"/>
                <w:lang w:eastAsia="zh-CN"/>
              </w:rPr>
              <w:t>，忻州市</w:t>
            </w:r>
            <w:r>
              <w:rPr>
                <w:rFonts w:hint="default" w:ascii="Times New Roman" w:hAnsi="Times New Roman" w:eastAsia="宋体" w:cs="Times New Roman"/>
                <w:b w:val="0"/>
                <w:bCs/>
                <w:color w:val="auto"/>
                <w:sz w:val="24"/>
                <w:szCs w:val="24"/>
                <w:highlight w:val="none"/>
                <w:lang w:val="en-US" w:eastAsia="zh-CN"/>
              </w:rPr>
              <w:t>生态环境单元划定体系包括优先保护单元、重点管控单元、一般管控单元。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——优先保护单元，全市共计114个，主要包括生态保护红线、自然保护地、饮用水水源保护区、泉域重点保护区，以及生态 功能重要和生态环境敏感脆弱的区域等。</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——重点管控单元，全市共计70个，主要包括城市建成区、省级以上经济技术开发区和产业园区（聚集区）、大气环境布局敏感区和弱扩散区，以及开发强度高、污染物排放量大、环境问题相对集中的区域等。</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——一般管控单元，全市共计14个，指优先保护单元和重点管控单元之外的其他区域。 </w:t>
            </w:r>
          </w:p>
          <w:p>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本项目位于</w:t>
            </w:r>
            <w:r>
              <w:rPr>
                <w:rFonts w:hint="default"/>
                <w:color w:val="auto"/>
                <w:sz w:val="24"/>
                <w:szCs w:val="32"/>
                <w:highlight w:val="none"/>
                <w:lang w:val="en-US"/>
              </w:rPr>
              <w:t>繁峙县大营镇固庄村西</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属于</w:t>
            </w:r>
            <w:r>
              <w:rPr>
                <w:rFonts w:hint="default" w:ascii="Times New Roman" w:hAnsi="Times New Roman" w:eastAsia="宋体" w:cs="Times New Roman"/>
                <w:b w:val="0"/>
                <w:bCs/>
                <w:color w:val="auto"/>
                <w:sz w:val="24"/>
                <w:szCs w:val="24"/>
                <w:highlight w:val="none"/>
                <w:lang w:val="en-US" w:eastAsia="zh-CN"/>
              </w:rPr>
              <w:t>一般管控单元区。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（2）忻州市生态环境总体准入清单要求的符合性</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kern w:val="0"/>
                <w:sz w:val="24"/>
                <w:szCs w:val="24"/>
                <w:highlight w:val="none"/>
                <w:lang w:val="en-US" w:eastAsia="zh-CN" w:bidi="ar"/>
              </w:rPr>
              <w:t>本项目位于</w:t>
            </w:r>
            <w:r>
              <w:rPr>
                <w:rFonts w:hint="default" w:ascii="Times New Roman" w:hAnsi="Times New Roman" w:eastAsia="宋体" w:cs="Times New Roman"/>
                <w:color w:val="auto"/>
                <w:kern w:val="0"/>
                <w:sz w:val="24"/>
                <w:szCs w:val="24"/>
                <w:highlight w:val="none"/>
                <w:lang w:val="en-US" w:eastAsia="zh-CN" w:bidi="ar"/>
              </w:rPr>
              <w:t>一般管控单元</w:t>
            </w:r>
            <w:r>
              <w:rPr>
                <w:rFonts w:hint="eastAsia" w:ascii="Times New Roman" w:hAnsi="Times New Roman" w:eastAsia="宋体" w:cs="Times New Roman"/>
                <w:color w:val="auto"/>
                <w:kern w:val="0"/>
                <w:sz w:val="24"/>
                <w:szCs w:val="24"/>
                <w:highlight w:val="none"/>
                <w:lang w:val="en-US" w:eastAsia="zh-CN" w:bidi="ar"/>
              </w:rPr>
              <w:t>，管控要求如下：</w:t>
            </w:r>
            <w:r>
              <w:rPr>
                <w:rFonts w:hint="default" w:ascii="Times New Roman" w:hAnsi="Times New Roman" w:eastAsia="宋体" w:cs="Times New Roman"/>
                <w:color w:val="auto"/>
                <w:kern w:val="0"/>
                <w:sz w:val="24"/>
                <w:szCs w:val="24"/>
                <w:highlight w:val="none"/>
                <w:lang w:val="en-US" w:eastAsia="zh-CN" w:bidi="ar"/>
              </w:rPr>
              <w:t xml:space="preserve">以生态环境保护与适度开发相结合为主，主要落实生态环境保护基本要求，执行国家、省、市相关产业准入、总量控制、排放标准等管理规定，推动区域生态环境质量持续改善。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对照忻州市生态环境总体准入清单的要求，符合性分析如下：</w:t>
            </w:r>
          </w:p>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 xml:space="preserve">  与 《忻州市生态环境总体准入清单》符合性分析</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4638"/>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管控类别</w:t>
                  </w:r>
                </w:p>
              </w:tc>
              <w:tc>
                <w:tcPr>
                  <w:tcW w:w="3274"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项目分析情况</w:t>
                  </w:r>
                </w:p>
              </w:tc>
              <w:tc>
                <w:tcPr>
                  <w:tcW w:w="926"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空间布局约束</w:t>
                  </w:r>
                </w:p>
              </w:tc>
              <w:tc>
                <w:tcPr>
                  <w:tcW w:w="3274"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本项目不属于矿山、“两高”等行业，不违背区域管控要求；项目选址不涉及环境敏感区，不在生态红线保护范围内</w:t>
                  </w:r>
                </w:p>
              </w:tc>
              <w:tc>
                <w:tcPr>
                  <w:tcW w:w="926"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污染物排放管控</w:t>
                  </w:r>
                </w:p>
              </w:tc>
              <w:tc>
                <w:tcPr>
                  <w:tcW w:w="3274"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项目总量严格按照“十四五”指标要求执行</w:t>
                  </w:r>
                  <w:r>
                    <w:rPr>
                      <w:rFonts w:hint="eastAsia" w:ascii="Times New Roman" w:hAnsi="Times New Roman" w:eastAsia="宋体"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进行污染物总量控制</w:t>
                  </w:r>
                  <w:r>
                    <w:rPr>
                      <w:rFonts w:hint="default" w:ascii="Times New Roman" w:hAnsi="Times New Roman" w:eastAsia="宋体" w:cs="Times New Roman"/>
                      <w:color w:val="auto"/>
                      <w:sz w:val="21"/>
                      <w:szCs w:val="21"/>
                      <w:highlight w:val="none"/>
                      <w:vertAlign w:val="baseline"/>
                      <w:lang w:val="en-US" w:eastAsia="zh-CN"/>
                    </w:rPr>
                    <w:t>；项目污染物排放严格按照大气污染物排放限制执行。</w:t>
                  </w:r>
                </w:p>
              </w:tc>
              <w:tc>
                <w:tcPr>
                  <w:tcW w:w="926"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环境风险防控</w:t>
                  </w:r>
                </w:p>
              </w:tc>
              <w:tc>
                <w:tcPr>
                  <w:tcW w:w="3274"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项目严格落实风险防控措施</w:t>
                  </w:r>
                </w:p>
              </w:tc>
              <w:tc>
                <w:tcPr>
                  <w:tcW w:w="926"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资源利用效率</w:t>
                  </w:r>
                </w:p>
              </w:tc>
              <w:tc>
                <w:tcPr>
                  <w:tcW w:w="3274"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项目水资源、土地资源利用量少，不会突破“十四五”指标要求；</w:t>
                  </w:r>
                </w:p>
              </w:tc>
              <w:tc>
                <w:tcPr>
                  <w:tcW w:w="926"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7、</w:t>
            </w:r>
            <w:r>
              <w:rPr>
                <w:rFonts w:hint="default" w:ascii="Times New Roman" w:hAnsi="Times New Roman" w:cs="Times New Roman"/>
                <w:b/>
                <w:bCs/>
                <w:color w:val="auto"/>
                <w:sz w:val="24"/>
                <w:szCs w:val="24"/>
                <w:highlight w:val="none"/>
              </w:rPr>
              <w:t>产业政策符合性分析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根据《产业结构调整指导目录（2019年本）》，本项目不属于限制及淘汰类项目，为允许类项目，繁峙县</w:t>
            </w:r>
            <w:r>
              <w:rPr>
                <w:rFonts w:hint="eastAsia" w:ascii="Times New Roman" w:hAnsi="Times New Roman" w:cs="Times New Roman"/>
                <w:color w:val="auto"/>
                <w:sz w:val="24"/>
                <w:szCs w:val="24"/>
                <w:highlight w:val="none"/>
                <w:lang w:eastAsia="zh-CN"/>
              </w:rPr>
              <w:t>行政审批服务管理局</w:t>
            </w:r>
            <w:r>
              <w:rPr>
                <w:rFonts w:hint="default" w:ascii="Times New Roman" w:hAnsi="Times New Roman" w:cs="Times New Roman"/>
                <w:color w:val="auto"/>
                <w:sz w:val="24"/>
                <w:szCs w:val="24"/>
                <w:highlight w:val="none"/>
              </w:rPr>
              <w:t>对本项目进行了备案，并生成项目编码：</w:t>
            </w:r>
            <w:r>
              <w:rPr>
                <w:rFonts w:hint="eastAsia"/>
                <w:color w:val="auto"/>
                <w:sz w:val="24"/>
                <w:szCs w:val="32"/>
                <w:highlight w:val="none"/>
                <w:lang w:val="en-US" w:eastAsia="zh-CN"/>
              </w:rPr>
              <w:t>2203-140924-89-05-770487，同意项目建设</w:t>
            </w:r>
            <w:r>
              <w:rPr>
                <w:rFonts w:hint="default" w:ascii="Times New Roman" w:hAnsi="Times New Roman" w:cs="Times New Roman"/>
                <w:color w:val="auto"/>
                <w:sz w:val="24"/>
                <w:szCs w:val="24"/>
                <w:highlight w:val="none"/>
              </w:rPr>
              <w:t>。因此，项目符合国家和地方产业政策的要求。</w:t>
            </w:r>
          </w:p>
          <w:p>
            <w:pPr>
              <w:pStyle w:val="23"/>
              <w:keepNext w:val="0"/>
              <w:keepLines w:val="0"/>
              <w:pageBreakBefore w:val="0"/>
              <w:kinsoku/>
              <w:wordWrap/>
              <w:overflowPunct/>
              <w:topLinePunct w:val="0"/>
              <w:bidi w:val="0"/>
              <w:adjustRightInd w:val="0"/>
              <w:snapToGrid w:val="0"/>
              <w:spacing w:line="360" w:lineRule="auto"/>
              <w:jc w:val="both"/>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8、</w:t>
            </w:r>
            <w:r>
              <w:rPr>
                <w:rFonts w:hint="default" w:ascii="Times New Roman" w:hAnsi="Times New Roman" w:cs="Times New Roman"/>
                <w:b/>
                <w:bCs/>
                <w:color w:val="auto"/>
                <w:sz w:val="24"/>
                <w:szCs w:val="24"/>
                <w:highlight w:val="none"/>
              </w:rPr>
              <w:t>土地利用规划</w:t>
            </w:r>
            <w:r>
              <w:rPr>
                <w:rFonts w:hint="eastAsia" w:ascii="Times New Roman" w:hAnsi="Times New Roman" w:cs="Times New Roman"/>
                <w:b/>
                <w:bCs/>
                <w:color w:val="auto"/>
                <w:sz w:val="24"/>
                <w:szCs w:val="24"/>
                <w:highlight w:val="none"/>
                <w:lang w:eastAsia="zh-CN"/>
              </w:rPr>
              <w:t>符合性</w:t>
            </w:r>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本项目位于繁峙县</w:t>
            </w:r>
            <w:r>
              <w:rPr>
                <w:rFonts w:hint="default" w:ascii="Times New Roman" w:hAnsi="Times New Roman" w:cs="Times New Roman"/>
                <w:color w:val="auto"/>
                <w:kern w:val="0"/>
                <w:sz w:val="24"/>
                <w:szCs w:val="24"/>
                <w:highlight w:val="none"/>
                <w:lang w:val="en-US" w:eastAsia="zh-CN"/>
              </w:rPr>
              <w:t>大营镇固庄村西，</w:t>
            </w:r>
            <w:r>
              <w:rPr>
                <w:rFonts w:hint="default" w:ascii="Times New Roman" w:hAnsi="Times New Roman" w:cs="Times New Roman"/>
                <w:color w:val="auto"/>
                <w:sz w:val="24"/>
                <w:szCs w:val="24"/>
                <w:highlight w:val="none"/>
              </w:rPr>
              <w:t>根据繁峙县</w:t>
            </w:r>
            <w:r>
              <w:rPr>
                <w:rFonts w:hint="default" w:ascii="Times New Roman" w:hAnsi="Times New Roman" w:cs="Times New Roman"/>
                <w:color w:val="auto"/>
                <w:sz w:val="24"/>
                <w:szCs w:val="24"/>
                <w:highlight w:val="none"/>
                <w:lang w:eastAsia="zh-CN"/>
              </w:rPr>
              <w:t>自然</w:t>
            </w:r>
            <w:r>
              <w:rPr>
                <w:rFonts w:hint="default" w:ascii="Times New Roman" w:hAnsi="Times New Roman" w:cs="Times New Roman"/>
                <w:color w:val="auto"/>
                <w:sz w:val="24"/>
                <w:szCs w:val="24"/>
                <w:highlight w:val="none"/>
              </w:rPr>
              <w:t>资源</w:t>
            </w:r>
            <w:r>
              <w:rPr>
                <w:rFonts w:hint="default" w:ascii="Times New Roman" w:hAnsi="Times New Roman" w:cs="Times New Roman"/>
                <w:color w:val="auto"/>
                <w:sz w:val="24"/>
                <w:szCs w:val="24"/>
                <w:highlight w:val="none"/>
                <w:lang w:eastAsia="zh-CN"/>
              </w:rPr>
              <w:t>服务中心</w:t>
            </w:r>
            <w:r>
              <w:rPr>
                <w:rFonts w:hint="default" w:ascii="Times New Roman" w:hAnsi="Times New Roman" w:cs="Times New Roman"/>
                <w:color w:val="auto"/>
                <w:sz w:val="24"/>
                <w:szCs w:val="24"/>
                <w:highlight w:val="none"/>
              </w:rPr>
              <w:t>出具的证明，</w:t>
            </w:r>
            <w:r>
              <w:rPr>
                <w:rFonts w:hint="default" w:ascii="Times New Roman" w:hAnsi="Times New Roman" w:cs="Times New Roman"/>
                <w:color w:val="auto"/>
                <w:sz w:val="24"/>
                <w:szCs w:val="24"/>
                <w:highlight w:val="none"/>
                <w:lang w:val="en-US" w:eastAsia="zh-CN"/>
              </w:rPr>
              <w:t>占地为原恒山二选厂旧址，</w:t>
            </w:r>
            <w:r>
              <w:rPr>
                <w:rFonts w:hint="eastAsia" w:ascii="Times New Roman" w:hAnsi="Times New Roman" w:cs="Times New Roman"/>
                <w:color w:val="auto"/>
                <w:sz w:val="24"/>
                <w:szCs w:val="24"/>
                <w:highlight w:val="none"/>
                <w:lang w:val="en-US" w:eastAsia="zh-CN"/>
              </w:rPr>
              <w:t>占地面积6.5亩，</w:t>
            </w:r>
            <w:r>
              <w:rPr>
                <w:rFonts w:hint="default" w:ascii="Times New Roman" w:hAnsi="Times New Roman" w:cs="Times New Roman"/>
                <w:color w:val="auto"/>
                <w:sz w:val="24"/>
                <w:szCs w:val="24"/>
                <w:highlight w:val="none"/>
                <w:lang w:val="en-US" w:eastAsia="zh-CN"/>
              </w:rPr>
              <w:t>用地性质为工矿用地，</w:t>
            </w:r>
            <w:r>
              <w:rPr>
                <w:rFonts w:hint="default" w:ascii="Times New Roman" w:hAnsi="Times New Roman" w:cs="Times New Roman"/>
                <w:color w:val="auto"/>
                <w:kern w:val="0"/>
                <w:sz w:val="24"/>
                <w:szCs w:val="24"/>
                <w:highlight w:val="none"/>
              </w:rPr>
              <w:t>属于《</w:t>
            </w:r>
            <w:r>
              <w:rPr>
                <w:rFonts w:hint="default" w:ascii="Times New Roman" w:hAnsi="Times New Roman" w:cs="Times New Roman"/>
                <w:color w:val="auto"/>
                <w:kern w:val="0"/>
                <w:sz w:val="24"/>
                <w:szCs w:val="24"/>
                <w:highlight w:val="none"/>
                <w:lang w:val="en-US" w:eastAsia="zh-CN"/>
              </w:rPr>
              <w:t>繁峙县土地利用</w:t>
            </w:r>
            <w:r>
              <w:rPr>
                <w:rFonts w:hint="default" w:ascii="Times New Roman" w:hAnsi="Times New Roman" w:cs="Times New Roman"/>
                <w:color w:val="auto"/>
                <w:kern w:val="0"/>
                <w:sz w:val="24"/>
                <w:szCs w:val="24"/>
                <w:highlight w:val="none"/>
              </w:rPr>
              <w:t>规划》中允许建设区，不属于</w:t>
            </w:r>
            <w:r>
              <w:rPr>
                <w:rFonts w:hint="eastAsia" w:ascii="Times New Roman" w:hAnsi="Times New Roman" w:cs="Times New Roman"/>
                <w:color w:val="auto"/>
                <w:kern w:val="0"/>
                <w:sz w:val="24"/>
                <w:szCs w:val="24"/>
                <w:highlight w:val="none"/>
                <w:lang w:val="en-US" w:eastAsia="zh-CN"/>
              </w:rPr>
              <w:t>限制</w:t>
            </w:r>
            <w:r>
              <w:rPr>
                <w:rFonts w:hint="default" w:ascii="Times New Roman" w:hAnsi="Times New Roman" w:cs="Times New Roman"/>
                <w:color w:val="auto"/>
                <w:kern w:val="0"/>
                <w:sz w:val="24"/>
                <w:szCs w:val="24"/>
                <w:highlight w:val="none"/>
              </w:rPr>
              <w:t>建设区及禁止建设区。</w:t>
            </w:r>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项目占地不在基本农田保护红线及五台山臭冷杉自然保护区、五台山国家地质公园、滹沱河源头水源涵养保护区等生态保护红线范围内，因此，项目建设符合《繁峙县土地利用总体规划 》要求。</w:t>
            </w:r>
          </w:p>
          <w:p>
            <w:pPr>
              <w:keepNext w:val="0"/>
              <w:keepLines w:val="0"/>
              <w:pageBreakBefore w:val="0"/>
              <w:kinsoku/>
              <w:wordWrap/>
              <w:overflowPunct/>
              <w:topLinePunct w:val="0"/>
              <w:bidi w:val="0"/>
              <w:adjustRightInd w:val="0"/>
              <w:snapToGrid w:val="0"/>
              <w:spacing w:line="360" w:lineRule="auto"/>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kern w:val="0"/>
                <w:sz w:val="24"/>
                <w:szCs w:val="24"/>
                <w:highlight w:val="none"/>
                <w:lang w:val="en-US" w:eastAsia="zh-CN" w:bidi="ar"/>
              </w:rPr>
              <w:t>与《山西省人民政府关于印发山西省“十四五”“两山七河一流域”生态保护和生态文明建设、生态经济发展规划的通知》（晋政发</w:t>
            </w:r>
            <w:r>
              <w:rPr>
                <w:rFonts w:hint="eastAsia"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2021</w:t>
            </w:r>
            <w:r>
              <w:rPr>
                <w:rFonts w:hint="eastAsia"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 xml:space="preserve">34号）符合性分析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根据</w:t>
            </w:r>
            <w:r>
              <w:rPr>
                <w:rFonts w:hint="default" w:ascii="Times New Roman" w:hAnsi="Times New Roman" w:eastAsia="宋体" w:cs="Times New Roman"/>
                <w:b w:val="0"/>
                <w:bCs w:val="0"/>
                <w:color w:val="auto"/>
                <w:kern w:val="0"/>
                <w:sz w:val="24"/>
                <w:szCs w:val="24"/>
                <w:highlight w:val="none"/>
                <w:lang w:val="en-US" w:eastAsia="zh-CN" w:bidi="ar"/>
              </w:rPr>
              <w:t>晋政发</w:t>
            </w:r>
            <w:r>
              <w:rPr>
                <w:rFonts w:hint="eastAsia"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2021</w:t>
            </w:r>
            <w:r>
              <w:rPr>
                <w:rFonts w:hint="eastAsia"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34号</w:t>
            </w:r>
            <w:r>
              <w:rPr>
                <w:rFonts w:hint="eastAsia" w:cs="Times New Roman"/>
                <w:b w:val="0"/>
                <w:bCs w:val="0"/>
                <w:color w:val="auto"/>
                <w:kern w:val="0"/>
                <w:sz w:val="24"/>
                <w:szCs w:val="24"/>
                <w:highlight w:val="none"/>
                <w:lang w:val="en-US" w:eastAsia="zh-CN" w:bidi="ar"/>
              </w:rPr>
              <w:t>的相关规定，“七河一流域”指的分别汾河、桑干河、滹沱河、漳河、沁河、涑水河和大清河以及黄河流域。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本项目距离最近地表水体为涧头河，位于场区南侧700m。根据《山西省地表水环境功能区划》（DB14/67-2019），项目区域地表水属于海河流域——滹沱河水系的支流。项目废水不外排，不会对区域地表水环境造成影响，符合</w:t>
            </w:r>
            <w:r>
              <w:rPr>
                <w:rFonts w:hint="default" w:ascii="Times New Roman" w:hAnsi="Times New Roman" w:eastAsia="宋体" w:cs="Times New Roman"/>
                <w:b w:val="0"/>
                <w:bCs w:val="0"/>
                <w:color w:val="auto"/>
                <w:kern w:val="0"/>
                <w:sz w:val="24"/>
                <w:szCs w:val="24"/>
                <w:highlight w:val="none"/>
                <w:lang w:val="en-US" w:eastAsia="zh-CN" w:bidi="ar"/>
              </w:rPr>
              <w:t>晋政发</w:t>
            </w:r>
            <w:r>
              <w:rPr>
                <w:rFonts w:hint="eastAsia"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2021</w:t>
            </w:r>
            <w:r>
              <w:rPr>
                <w:rFonts w:hint="eastAsia"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34号</w:t>
            </w:r>
            <w:r>
              <w:rPr>
                <w:rFonts w:hint="eastAsia" w:cs="Times New Roman"/>
                <w:b w:val="0"/>
                <w:bCs w:val="0"/>
                <w:color w:val="auto"/>
                <w:kern w:val="0"/>
                <w:sz w:val="24"/>
                <w:szCs w:val="24"/>
                <w:highlight w:val="none"/>
                <w:lang w:val="en-US" w:eastAsia="zh-CN" w:bidi="ar"/>
              </w:rPr>
              <w:t>的相关要求。</w:t>
            </w:r>
          </w:p>
          <w:p>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10、</w:t>
            </w:r>
            <w:r>
              <w:rPr>
                <w:rFonts w:hint="default" w:ascii="Times New Roman" w:hAnsi="Times New Roman" w:cs="Times New Roman"/>
                <w:b/>
                <w:bCs/>
                <w:color w:val="auto"/>
                <w:sz w:val="24"/>
                <w:szCs w:val="24"/>
                <w:highlight w:val="none"/>
              </w:rPr>
              <w:t>与《山西省大气污染防治条例》、《国务院关于印发打赢蓝天保卫战三年行动计划的通知》符合性分析</w:t>
            </w:r>
          </w:p>
          <w:p>
            <w:pPr>
              <w:pStyle w:val="20"/>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对照上述文件相关规定，本项目情况分析如下：①本项目位于</w:t>
            </w:r>
            <w:r>
              <w:rPr>
                <w:rFonts w:hint="default"/>
                <w:color w:val="auto"/>
                <w:sz w:val="24"/>
                <w:szCs w:val="32"/>
                <w:highlight w:val="none"/>
                <w:lang w:val="en-US"/>
              </w:rPr>
              <w:t>繁峙县大营镇固庄村西</w:t>
            </w:r>
            <w:r>
              <w:rPr>
                <w:rFonts w:hint="default" w:ascii="Times New Roman" w:hAnsi="Times New Roman" w:cs="Times New Roman"/>
                <w:color w:val="auto"/>
                <w:sz w:val="24"/>
                <w:szCs w:val="24"/>
                <w:highlight w:val="none"/>
              </w:rPr>
              <w:t>，不属于重点控制区域范围；②本项目为</w:t>
            </w:r>
            <w:r>
              <w:rPr>
                <w:rFonts w:hint="eastAsia" w:ascii="Times New Roman" w:hAnsi="Times New Roman" w:cs="Times New Roman"/>
                <w:color w:val="auto"/>
                <w:sz w:val="24"/>
                <w:szCs w:val="24"/>
                <w:highlight w:val="none"/>
                <w:lang w:val="en-US" w:eastAsia="zh-CN"/>
              </w:rPr>
              <w:t>石膏线条生产</w:t>
            </w:r>
            <w:r>
              <w:rPr>
                <w:rFonts w:hint="default" w:ascii="Times New Roman" w:hAnsi="Times New Roman" w:cs="Times New Roman"/>
                <w:color w:val="auto"/>
                <w:sz w:val="24"/>
                <w:szCs w:val="24"/>
                <w:highlight w:val="none"/>
              </w:rPr>
              <w:t>项目，不属于严控“两高”行业；③本项目为新建项目，不属于“散乱污”企业；④本项目不属于高排放行业，不违背冬季大气污染综合治理攻坚方案的要求。</w:t>
            </w:r>
          </w:p>
          <w:p>
            <w:pPr>
              <w:pStyle w:val="20"/>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综上，项目符合</w:t>
            </w:r>
            <w:r>
              <w:rPr>
                <w:rFonts w:hint="eastAsia" w:ascii="Times New Roman" w:hAnsi="Times New Roman" w:cs="Times New Roman"/>
                <w:color w:val="auto"/>
                <w:sz w:val="24"/>
                <w:szCs w:val="24"/>
                <w:highlight w:val="none"/>
                <w:lang w:eastAsia="zh-CN"/>
              </w:rPr>
              <w:t>《山西省大气污染防治条例》及</w:t>
            </w:r>
            <w:r>
              <w:rPr>
                <w:rFonts w:hint="default" w:ascii="Times New Roman" w:hAnsi="Times New Roman" w:cs="Times New Roman"/>
                <w:color w:val="auto"/>
                <w:sz w:val="24"/>
                <w:szCs w:val="24"/>
                <w:highlight w:val="none"/>
              </w:rPr>
              <w:t>《国务院关于印发打赢蓝天保卫战三年行动计划的通知》中的相关规定。</w:t>
            </w:r>
          </w:p>
          <w:p>
            <w:pPr>
              <w:pStyle w:val="20"/>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ind w:firstLine="0" w:firstLineChars="0"/>
              <w:jc w:val="both"/>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11、</w:t>
            </w:r>
            <w:r>
              <w:rPr>
                <w:rFonts w:hint="default" w:ascii="Times New Roman" w:hAnsi="Times New Roman" w:cs="Times New Roman"/>
                <w:b/>
                <w:bCs/>
                <w:color w:val="auto"/>
                <w:sz w:val="24"/>
                <w:szCs w:val="24"/>
                <w:highlight w:val="none"/>
                <w:lang w:eastAsia="zh-CN"/>
              </w:rPr>
              <w:t>与《墙体材料行业结构调整指导目录</w:t>
            </w:r>
            <w:r>
              <w:rPr>
                <w:rFonts w:hint="eastAsia"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eastAsia="zh-CN"/>
              </w:rPr>
              <w:t>2016)》符合性</w:t>
            </w:r>
            <w:r>
              <w:rPr>
                <w:rFonts w:hint="eastAsia" w:ascii="Times New Roman" w:hAnsi="Times New Roman" w:cs="Times New Roman"/>
                <w:b/>
                <w:bCs/>
                <w:color w:val="auto"/>
                <w:sz w:val="24"/>
                <w:szCs w:val="24"/>
                <w:highlight w:val="none"/>
                <w:lang w:val="en-US" w:eastAsia="zh-CN"/>
              </w:rPr>
              <w:t>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对照《墙体材料行业结构调整指导目录</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2016)》的要求，“建筑用轻质隔墙条板、灰渣混凝土空心隔墙板、玻璃纤维增强水泥轻质多孔隔墙条板，必须达到GB/T23451、GB/T23449、 GB/T19631要求，采用机械化生产，单线年生产规模≥15万平方米。”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本项目为石膏线条生产项目，为轻质建筑材料纸质项目，产品标准满足</w:t>
            </w:r>
            <w:r>
              <w:rPr>
                <w:rFonts w:hint="eastAsia" w:ascii="Times New Roman" w:hAnsi="Times New Roman" w:cs="Times New Roman"/>
                <w:color w:val="auto"/>
                <w:sz w:val="24"/>
                <w:szCs w:val="24"/>
                <w:highlight w:val="none"/>
              </w:rPr>
              <w:t>GB/T23451、GB/T23449、 GB/T19631要求，</w:t>
            </w:r>
            <w:r>
              <w:rPr>
                <w:rFonts w:hint="eastAsia" w:ascii="Times New Roman" w:hAnsi="Times New Roman" w:cs="Times New Roman"/>
                <w:color w:val="auto"/>
                <w:sz w:val="24"/>
                <w:szCs w:val="24"/>
                <w:highlight w:val="none"/>
                <w:lang w:val="en-US" w:eastAsia="zh-CN"/>
              </w:rPr>
              <w:t>生产规模为3500</w:t>
            </w:r>
            <w:r>
              <w:rPr>
                <w:rFonts w:hint="eastAsia" w:ascii="Times New Roman" w:hAnsi="Times New Roman" w:cs="Times New Roman"/>
                <w:color w:val="auto"/>
                <w:sz w:val="24"/>
                <w:szCs w:val="24"/>
                <w:highlight w:val="none"/>
              </w:rPr>
              <w:t>万平方米</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属于《墙体材料行业结构调整指导目录</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2016)》中的鼓励发展类。</w:t>
            </w:r>
          </w:p>
          <w:p>
            <w:pPr>
              <w:pStyle w:val="22"/>
              <w:ind w:left="0" w:leftChars="0" w:firstLine="0" w:firstLineChars="0"/>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p>
            <w:pPr>
              <w:pStyle w:val="23"/>
              <w:rPr>
                <w:rFonts w:hint="eastAsia"/>
                <w:color w:val="auto"/>
                <w:highlight w:val="none"/>
                <w:lang w:eastAsia="zh-CN"/>
              </w:rPr>
            </w:pPr>
          </w:p>
        </w:tc>
      </w:tr>
    </w:tbl>
    <w:p>
      <w:pPr>
        <w:spacing w:line="360" w:lineRule="auto"/>
        <w:outlineLvl w:val="0"/>
        <w:rPr>
          <w:rFonts w:eastAsia="黑体"/>
          <w:color w:val="auto"/>
          <w:sz w:val="30"/>
          <w:highlight w:val="none"/>
        </w:rPr>
        <w:sectPr>
          <w:footerReference r:id="rId4" w:type="default"/>
          <w:pgSz w:w="11906" w:h="16838"/>
          <w:pgMar w:top="1701" w:right="1417" w:bottom="1701"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0"/>
        <w:jc w:val="center"/>
        <w:outlineLvl w:val="0"/>
        <w:rPr>
          <w:rFonts w:hint="eastAsia" w:ascii="黑体" w:hAnsi="黑体" w:eastAsia="黑体" w:cs="Times New Roman"/>
          <w:snapToGrid w:val="0"/>
          <w:color w:val="auto"/>
          <w:sz w:val="32"/>
          <w:szCs w:val="32"/>
          <w:highlight w:val="none"/>
        </w:rPr>
      </w:pPr>
      <w:r>
        <w:rPr>
          <w:rFonts w:hint="eastAsia" w:ascii="黑体" w:hAnsi="黑体" w:eastAsia="黑体" w:cs="Times New Roman"/>
          <w:snapToGrid w:val="0"/>
          <w:color w:val="auto"/>
          <w:sz w:val="32"/>
          <w:szCs w:val="32"/>
          <w:highlight w:val="none"/>
        </w:rPr>
        <w:t>二、建设项目工程分析</w:t>
      </w:r>
    </w:p>
    <w:tbl>
      <w:tblPr>
        <w:tblStyle w:val="2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7"/>
        <w:gridCol w:w="8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284" w:type="pct"/>
            <w:noWrap w:val="0"/>
            <w:vAlign w:val="center"/>
          </w:tcPr>
          <w:p>
            <w:pPr>
              <w:pStyle w:val="20"/>
              <w:adjustRightInd w:val="0"/>
              <w:snapToGrid w:val="0"/>
              <w:spacing w:before="0" w:beforeAutospacing="0" w:after="0" w:afterAutospacing="0"/>
              <w:jc w:val="center"/>
              <w:rPr>
                <w:rFonts w:cs="宋体"/>
                <w:color w:val="auto"/>
                <w:sz w:val="21"/>
                <w:szCs w:val="21"/>
                <w:highlight w:val="none"/>
              </w:rPr>
            </w:pPr>
            <w:r>
              <w:rPr>
                <w:rFonts w:hint="eastAsia" w:cs="宋体"/>
                <w:b/>
                <w:bCs/>
                <w:color w:val="auto"/>
                <w:sz w:val="28"/>
                <w:szCs w:val="28"/>
                <w:highlight w:val="none"/>
              </w:rPr>
              <w:t>建设内容</w:t>
            </w:r>
          </w:p>
        </w:tc>
        <w:tc>
          <w:tcPr>
            <w:tcW w:w="4715" w:type="pct"/>
            <w:noWrap w:val="0"/>
            <w:vAlign w:val="top"/>
          </w:tcPr>
          <w:p>
            <w:pPr>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1、项目基本情况</w:t>
            </w:r>
          </w:p>
          <w:p>
            <w:pPr>
              <w:snapToGrid w:val="0"/>
              <w:spacing w:line="360" w:lineRule="auto"/>
              <w:ind w:left="1679" w:leftChars="228" w:hanging="1200" w:hangingChars="5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项目名称：</w:t>
            </w:r>
            <w:r>
              <w:rPr>
                <w:rFonts w:hint="eastAsia" w:cs="Times New Roman"/>
                <w:color w:val="auto"/>
                <w:w w:val="99"/>
                <w:sz w:val="24"/>
                <w:highlight w:val="none"/>
                <w:lang w:eastAsia="zh-CN"/>
              </w:rPr>
              <w:t>繁峙县新安建材加工厂年产3500万平方米石膏线条生产线建设项目</w:t>
            </w:r>
          </w:p>
          <w:p>
            <w:pPr>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建设单位：</w:t>
            </w:r>
            <w:r>
              <w:rPr>
                <w:rFonts w:hint="eastAsia" w:cs="Times New Roman"/>
                <w:color w:val="auto"/>
                <w:sz w:val="24"/>
                <w:highlight w:val="none"/>
                <w:lang w:eastAsia="zh-CN"/>
              </w:rPr>
              <w:t>繁峙县新安建材加工厂</w:t>
            </w:r>
          </w:p>
          <w:p>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建设性质：新建</w:t>
            </w:r>
          </w:p>
          <w:p>
            <w:pPr>
              <w:snapToGrid w:val="0"/>
              <w:spacing w:line="360" w:lineRule="auto"/>
              <w:ind w:left="1679" w:leftChars="228" w:hanging="1200" w:hangingChars="500"/>
              <w:rPr>
                <w:rFonts w:hint="default" w:ascii="Times New Roman" w:hAnsi="Times New Roman" w:cs="Times New Roman"/>
                <w:bCs/>
                <w:color w:val="auto"/>
                <w:sz w:val="24"/>
                <w:highlight w:val="none"/>
                <w:lang w:val="en-US" w:eastAsia="zh-CN"/>
              </w:rPr>
            </w:pPr>
            <w:r>
              <w:rPr>
                <w:rFonts w:hint="default" w:ascii="Times New Roman" w:hAnsi="Times New Roman" w:cs="Times New Roman"/>
                <w:color w:val="auto"/>
                <w:sz w:val="24"/>
                <w:highlight w:val="none"/>
              </w:rPr>
              <w:t>建设规模：</w:t>
            </w:r>
            <w:r>
              <w:rPr>
                <w:rFonts w:hint="default" w:ascii="Times New Roman" w:hAnsi="Times New Roman" w:cs="Times New Roman"/>
                <w:bCs/>
                <w:color w:val="auto"/>
                <w:w w:val="100"/>
                <w:sz w:val="24"/>
                <w:highlight w:val="none"/>
              </w:rPr>
              <w:t>年</w:t>
            </w:r>
            <w:r>
              <w:rPr>
                <w:rFonts w:hint="eastAsia" w:cs="Times New Roman"/>
                <w:bCs/>
                <w:color w:val="auto"/>
                <w:w w:val="100"/>
                <w:sz w:val="24"/>
                <w:highlight w:val="none"/>
                <w:lang w:eastAsia="zh-CN"/>
              </w:rPr>
              <w:t>产</w:t>
            </w:r>
            <w:r>
              <w:rPr>
                <w:rFonts w:hint="eastAsia" w:cs="Times New Roman"/>
                <w:color w:val="auto"/>
                <w:w w:val="100"/>
                <w:sz w:val="24"/>
                <w:highlight w:val="none"/>
                <w:lang w:eastAsia="zh-CN"/>
              </w:rPr>
              <w:t>3500万平方米石膏线条</w:t>
            </w:r>
          </w:p>
          <w:p>
            <w:pPr>
              <w:snapToGrid w:val="0"/>
              <w:spacing w:line="360" w:lineRule="auto"/>
              <w:ind w:left="1679" w:leftChars="228" w:hanging="1200" w:hangingChars="5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项目投资：</w:t>
            </w:r>
            <w:r>
              <w:rPr>
                <w:rFonts w:hint="eastAsia" w:cs="Times New Roman"/>
                <w:bCs/>
                <w:color w:val="auto"/>
                <w:sz w:val="24"/>
                <w:highlight w:val="none"/>
                <w:lang w:val="en-US" w:eastAsia="zh-CN"/>
              </w:rPr>
              <w:t>总</w:t>
            </w:r>
            <w:r>
              <w:rPr>
                <w:rFonts w:hint="default" w:ascii="Times New Roman" w:hAnsi="Times New Roman" w:cs="Times New Roman"/>
                <w:bCs/>
                <w:color w:val="auto"/>
                <w:sz w:val="24"/>
                <w:highlight w:val="none"/>
              </w:rPr>
              <w:t>投资</w:t>
            </w:r>
            <w:r>
              <w:rPr>
                <w:rFonts w:hint="eastAsia" w:cs="Times New Roman"/>
                <w:bCs/>
                <w:color w:val="auto"/>
                <w:sz w:val="24"/>
                <w:highlight w:val="none"/>
                <w:lang w:val="en-US" w:eastAsia="zh-CN"/>
              </w:rPr>
              <w:t>4</w:t>
            </w:r>
            <w:r>
              <w:rPr>
                <w:rFonts w:hint="default" w:ascii="Times New Roman" w:hAnsi="Times New Roman" w:cs="Times New Roman"/>
                <w:bCs/>
                <w:color w:val="auto"/>
                <w:sz w:val="24"/>
                <w:highlight w:val="none"/>
              </w:rPr>
              <w:t>00万元，环保投资</w:t>
            </w:r>
            <w:r>
              <w:rPr>
                <w:rFonts w:hint="eastAsia" w:cs="Times New Roman"/>
                <w:bCs/>
                <w:color w:val="auto"/>
                <w:sz w:val="24"/>
                <w:highlight w:val="none"/>
                <w:lang w:val="en-US" w:eastAsia="zh-CN"/>
              </w:rPr>
              <w:t>27</w:t>
            </w:r>
            <w:r>
              <w:rPr>
                <w:rFonts w:hint="default" w:ascii="Times New Roman" w:hAnsi="Times New Roman" w:cs="Times New Roman"/>
                <w:bCs/>
                <w:color w:val="auto"/>
                <w:sz w:val="24"/>
                <w:highlight w:val="none"/>
              </w:rPr>
              <w:t>万元，全部</w:t>
            </w:r>
            <w:r>
              <w:rPr>
                <w:rFonts w:hint="eastAsia" w:cs="Times New Roman"/>
                <w:bCs/>
                <w:color w:val="auto"/>
                <w:sz w:val="24"/>
                <w:highlight w:val="none"/>
                <w:lang w:eastAsia="zh-CN"/>
              </w:rPr>
              <w:t>来自</w:t>
            </w:r>
            <w:r>
              <w:rPr>
                <w:rFonts w:hint="default" w:ascii="Times New Roman" w:hAnsi="Times New Roman" w:cs="Times New Roman"/>
                <w:bCs/>
                <w:color w:val="auto"/>
                <w:sz w:val="24"/>
                <w:highlight w:val="none"/>
              </w:rPr>
              <w:t>企业自筹。</w:t>
            </w:r>
          </w:p>
          <w:p>
            <w:pPr>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2、建设地点</w:t>
            </w:r>
          </w:p>
          <w:p>
            <w:pPr>
              <w:pStyle w:val="34"/>
              <w:adjustRightInd w:val="0"/>
              <w:snapToGrid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项目位于繁峙县大营镇固庄村西，占地面积为</w:t>
            </w:r>
            <w:r>
              <w:rPr>
                <w:rFonts w:hint="eastAsia" w:cs="Times New Roman"/>
                <w:color w:val="auto"/>
                <w:highlight w:val="none"/>
                <w:lang w:val="en-US" w:eastAsia="zh-CN"/>
              </w:rPr>
              <w:t>6.5</w:t>
            </w:r>
            <w:r>
              <w:rPr>
                <w:rFonts w:hint="default" w:ascii="Times New Roman" w:hAnsi="Times New Roman" w:cs="Times New Roman"/>
                <w:color w:val="auto"/>
                <w:highlight w:val="none"/>
              </w:rPr>
              <w:t>亩</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4333</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，中心坐标</w:t>
            </w:r>
            <w:r>
              <w:rPr>
                <w:rFonts w:hint="default"/>
                <w:color w:val="auto"/>
                <w:sz w:val="24"/>
                <w:szCs w:val="32"/>
                <w:highlight w:val="none"/>
              </w:rPr>
              <w:t>东经E113</w:t>
            </w:r>
            <w:r>
              <w:rPr>
                <w:rFonts w:hint="default"/>
                <w:color w:val="auto"/>
                <w:sz w:val="24"/>
                <w:szCs w:val="32"/>
                <w:highlight w:val="none"/>
                <w:lang w:val="en-US" w:eastAsia="zh-CN"/>
              </w:rPr>
              <w:t>°</w:t>
            </w:r>
            <w:r>
              <w:rPr>
                <w:rFonts w:hint="eastAsia"/>
                <w:color w:val="auto"/>
                <w:sz w:val="24"/>
                <w:szCs w:val="32"/>
                <w:highlight w:val="none"/>
                <w:lang w:val="en-US" w:eastAsia="zh-CN"/>
              </w:rPr>
              <w:t>49</w:t>
            </w:r>
            <w:r>
              <w:rPr>
                <w:rFonts w:hint="default" w:ascii="Times New Roman" w:hAnsi="Times New Roman" w:cs="Times New Roman"/>
                <w:color w:val="auto"/>
                <w:sz w:val="24"/>
                <w:szCs w:val="32"/>
                <w:highlight w:val="none"/>
                <w:lang w:val="en-US" w:eastAsia="zh-CN"/>
              </w:rPr>
              <w:t>′</w:t>
            </w:r>
            <w:r>
              <w:rPr>
                <w:rFonts w:hint="eastAsia"/>
                <w:color w:val="auto"/>
                <w:sz w:val="24"/>
                <w:szCs w:val="32"/>
                <w:highlight w:val="none"/>
                <w:lang w:val="en-US" w:eastAsia="zh-CN"/>
              </w:rPr>
              <w:t>1.380</w:t>
            </w:r>
            <w:r>
              <w:rPr>
                <w:rFonts w:hint="default"/>
                <w:color w:val="auto"/>
                <w:sz w:val="24"/>
                <w:szCs w:val="32"/>
                <w:highlight w:val="none"/>
                <w:lang w:val="en-US" w:eastAsia="zh-CN"/>
              </w:rPr>
              <w:t>"</w:t>
            </w:r>
            <w:r>
              <w:rPr>
                <w:rFonts w:hint="default"/>
                <w:color w:val="auto"/>
                <w:sz w:val="24"/>
                <w:szCs w:val="32"/>
                <w:highlight w:val="none"/>
              </w:rPr>
              <w:t>，北纬N</w:t>
            </w:r>
            <w:r>
              <w:rPr>
                <w:rFonts w:hint="default"/>
                <w:color w:val="auto"/>
                <w:sz w:val="24"/>
                <w:szCs w:val="32"/>
                <w:highlight w:val="none"/>
                <w:lang w:val="en-US" w:eastAsia="zh-CN"/>
              </w:rPr>
              <w:t>39°</w:t>
            </w:r>
            <w:r>
              <w:rPr>
                <w:rFonts w:hint="eastAsia"/>
                <w:color w:val="auto"/>
                <w:sz w:val="24"/>
                <w:szCs w:val="32"/>
                <w:highlight w:val="none"/>
                <w:lang w:val="en-US" w:eastAsia="zh-CN"/>
              </w:rPr>
              <w:t>20</w:t>
            </w:r>
            <w:r>
              <w:rPr>
                <w:rFonts w:hint="default"/>
                <w:color w:val="auto"/>
                <w:sz w:val="24"/>
                <w:szCs w:val="32"/>
                <w:highlight w:val="none"/>
                <w:lang w:val="en-US" w:eastAsia="zh-CN"/>
              </w:rPr>
              <w:t>'</w:t>
            </w:r>
            <w:r>
              <w:rPr>
                <w:rFonts w:hint="eastAsia"/>
                <w:color w:val="auto"/>
                <w:sz w:val="24"/>
                <w:szCs w:val="32"/>
                <w:highlight w:val="none"/>
                <w:lang w:val="en-US" w:eastAsia="zh-CN"/>
              </w:rPr>
              <w:t>10.223</w:t>
            </w:r>
            <w:r>
              <w:rPr>
                <w:rFonts w:hint="default"/>
                <w:color w:val="auto"/>
                <w:sz w:val="24"/>
                <w:szCs w:val="32"/>
                <w:highlight w:val="none"/>
                <w:lang w:val="en-US" w:eastAsia="zh-CN"/>
              </w:rPr>
              <w:t>"</w:t>
            </w:r>
            <w:r>
              <w:rPr>
                <w:rFonts w:hint="default" w:ascii="Times New Roman" w:hAnsi="Times New Roman" w:cs="Times New Roman"/>
                <w:color w:val="auto"/>
                <w:highlight w:val="none"/>
              </w:rPr>
              <w:t>。项目</w:t>
            </w:r>
            <w:r>
              <w:rPr>
                <w:rFonts w:hint="eastAsia" w:cs="Times New Roman"/>
                <w:color w:val="auto"/>
                <w:highlight w:val="none"/>
                <w:lang w:val="en-US" w:eastAsia="zh-CN"/>
              </w:rPr>
              <w:t>东</w:t>
            </w:r>
            <w:r>
              <w:rPr>
                <w:rFonts w:hint="eastAsia" w:cs="Times New Roman"/>
                <w:color w:val="auto"/>
                <w:highlight w:val="none"/>
                <w:lang w:eastAsia="zh-CN"/>
              </w:rPr>
              <w:t>侧为</w:t>
            </w:r>
            <w:r>
              <w:rPr>
                <w:rFonts w:hint="eastAsia" w:cs="Times New Roman"/>
                <w:color w:val="auto"/>
                <w:highlight w:val="none"/>
                <w:lang w:val="en-US" w:eastAsia="zh-CN"/>
              </w:rPr>
              <w:t>恒山磁选厂尾矿库</w:t>
            </w:r>
            <w:r>
              <w:rPr>
                <w:rFonts w:hint="eastAsia" w:cs="Times New Roman"/>
                <w:color w:val="auto"/>
                <w:highlight w:val="none"/>
                <w:lang w:eastAsia="zh-CN"/>
              </w:rPr>
              <w:t>，</w:t>
            </w:r>
            <w:r>
              <w:rPr>
                <w:rFonts w:hint="eastAsia" w:cs="Times New Roman"/>
                <w:color w:val="auto"/>
                <w:highlight w:val="none"/>
                <w:lang w:val="en-US" w:eastAsia="zh-CN"/>
              </w:rPr>
              <w:t>南侧为未利用地，西侧为农田</w:t>
            </w:r>
            <w:r>
              <w:rPr>
                <w:rFonts w:hint="eastAsia" w:cs="Times New Roman"/>
                <w:color w:val="auto"/>
                <w:highlight w:val="none"/>
                <w:lang w:eastAsia="zh-CN"/>
              </w:rPr>
              <w:t>、北侧为</w:t>
            </w:r>
            <w:r>
              <w:rPr>
                <w:rFonts w:hint="eastAsia" w:cs="Times New Roman"/>
                <w:color w:val="auto"/>
                <w:highlight w:val="none"/>
                <w:lang w:val="en-US" w:eastAsia="zh-CN"/>
              </w:rPr>
              <w:t>恒山磁选厂二车间</w:t>
            </w:r>
            <w:r>
              <w:rPr>
                <w:rFonts w:hint="default" w:ascii="Times New Roman" w:hAnsi="Times New Roman" w:cs="Times New Roman"/>
                <w:color w:val="auto"/>
                <w:highlight w:val="none"/>
                <w:lang w:eastAsia="zh-CN"/>
              </w:rPr>
              <w:t>，距离最近</w:t>
            </w:r>
            <w:r>
              <w:rPr>
                <w:rFonts w:hint="eastAsia" w:cs="Times New Roman"/>
                <w:color w:val="auto"/>
                <w:highlight w:val="none"/>
                <w:lang w:eastAsia="zh-CN"/>
              </w:rPr>
              <w:t>村庄</w:t>
            </w:r>
            <w:r>
              <w:rPr>
                <w:rFonts w:hint="default" w:ascii="Times New Roman" w:hAnsi="Times New Roman" w:cs="Times New Roman"/>
                <w:color w:val="auto"/>
                <w:highlight w:val="none"/>
                <w:lang w:eastAsia="zh-CN"/>
              </w:rPr>
              <w:t>敏感点约</w:t>
            </w:r>
            <w:r>
              <w:rPr>
                <w:rFonts w:hint="eastAsia" w:cs="Times New Roman"/>
                <w:color w:val="auto"/>
                <w:highlight w:val="none"/>
                <w:lang w:val="en-US" w:eastAsia="zh-CN"/>
              </w:rPr>
              <w:t>440</w:t>
            </w:r>
            <w:r>
              <w:rPr>
                <w:rFonts w:hint="default" w:ascii="Times New Roman" w:hAnsi="Times New Roman" w:cs="Times New Roman"/>
                <w:color w:val="auto"/>
                <w:highlight w:val="none"/>
              </w:rPr>
              <w:t>m</w:t>
            </w:r>
            <w:r>
              <w:rPr>
                <w:rFonts w:hint="default" w:ascii="Times New Roman" w:hAnsi="Times New Roman" w:cs="Times New Roman"/>
                <w:color w:val="auto"/>
                <w:highlight w:val="none"/>
                <w:lang w:eastAsia="zh-CN"/>
              </w:rPr>
              <w:t>。</w:t>
            </w:r>
          </w:p>
          <w:p>
            <w:pPr>
              <w:pStyle w:val="34"/>
              <w:adjustRightInd w:val="0"/>
              <w:snapToGrid w:val="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项目地理位置图见附图1，四邻关系见图</w:t>
            </w:r>
            <w:r>
              <w:rPr>
                <w:rFonts w:hint="eastAsia" w:cs="Times New Roman"/>
                <w:color w:val="auto"/>
                <w:highlight w:val="none"/>
                <w:lang w:val="en-US" w:eastAsia="zh-CN"/>
              </w:rPr>
              <w:t>2</w:t>
            </w:r>
            <w:r>
              <w:rPr>
                <w:rFonts w:hint="default" w:ascii="Times New Roman" w:hAnsi="Times New Roman" w:cs="Times New Roman"/>
                <w:color w:val="auto"/>
                <w:highlight w:val="none"/>
              </w:rPr>
              <w:t>-1。</w:t>
            </w:r>
          </w:p>
          <w:p>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mc:AlternateContent>
                <mc:Choice Requires="wps">
                  <w:drawing>
                    <wp:anchor distT="0" distB="0" distL="114300" distR="114300" simplePos="0" relativeHeight="251661312" behindDoc="0" locked="0" layoutInCell="1" allowOverlap="1">
                      <wp:simplePos x="0" y="0"/>
                      <wp:positionH relativeFrom="column">
                        <wp:posOffset>1584325</wp:posOffset>
                      </wp:positionH>
                      <wp:positionV relativeFrom="paragraph">
                        <wp:posOffset>1882775</wp:posOffset>
                      </wp:positionV>
                      <wp:extent cx="645160" cy="39433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45160" cy="394335"/>
                              </a:xfrm>
                              <a:prstGeom prst="rect">
                                <a:avLst/>
                              </a:prstGeom>
                              <a:noFill/>
                              <a:ln>
                                <a:noFill/>
                              </a:ln>
                            </wps:spPr>
                            <wps:txbx>
                              <w:txbxContent>
                                <w:p>
                                  <w:pPr>
                                    <w:rPr>
                                      <w:rFonts w:hint="default"/>
                                      <w:b/>
                                      <w:bCs/>
                                      <w:color w:val="FFFF00"/>
                                      <w:lang w:val="en-US"/>
                                    </w:rPr>
                                  </w:pPr>
                                  <w:r>
                                    <w:rPr>
                                      <w:rFonts w:hint="eastAsia"/>
                                      <w:b/>
                                      <w:bCs/>
                                      <w:color w:val="FFFF00"/>
                                      <w:lang w:val="en-US" w:eastAsia="zh-CN"/>
                                    </w:rPr>
                                    <w:t>农田</w:t>
                                  </w:r>
                                </w:p>
                              </w:txbxContent>
                            </wps:txbx>
                            <wps:bodyPr upright="1"/>
                          </wps:wsp>
                        </a:graphicData>
                      </a:graphic>
                    </wp:anchor>
                  </w:drawing>
                </mc:Choice>
                <mc:Fallback>
                  <w:pict>
                    <v:shape id="_x0000_s1026" o:spid="_x0000_s1026" o:spt="202" type="#_x0000_t202" style="position:absolute;left:0pt;margin-left:124.75pt;margin-top:148.25pt;height:31.05pt;width:50.8pt;z-index:251661312;mso-width-relative:page;mso-height-relative:page;" filled="f" stroked="f" coordsize="21600,21600" o:gfxdata="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IpBk1wAA&#10;AAsBAAAPAAAAAAAAAAEAIAAAACIAAABkcnMvZG93bnJldi54bWxQSwECFAAUAAAACACHTuJAf3w4&#10;uK0BAABPAwAADgAAAAAAAAABACAAAAAmAQAAZHJzL2Uyb0RvYy54bWxQSwUGAAAAAAYABgBZAQAA&#10;RQUAAAAA&#10;">
                      <v:fill on="f" focussize="0,0"/>
                      <v:stroke on="f"/>
                      <v:imagedata o:title=""/>
                      <o:lock v:ext="edit" aspectratio="f"/>
                      <v:textbox>
                        <w:txbxContent>
                          <w:p>
                            <w:pPr>
                              <w:rPr>
                                <w:rFonts w:hint="default"/>
                                <w:b/>
                                <w:bCs/>
                                <w:color w:val="FFFF00"/>
                                <w:lang w:val="en-US"/>
                              </w:rPr>
                            </w:pPr>
                            <w:r>
                              <w:rPr>
                                <w:rFonts w:hint="eastAsia"/>
                                <w:b/>
                                <w:bCs/>
                                <w:color w:val="FFFF00"/>
                                <w:lang w:val="en-US" w:eastAsia="zh-CN"/>
                              </w:rPr>
                              <w:t>农田</w:t>
                            </w:r>
                          </w:p>
                        </w:txbxContent>
                      </v:textbox>
                    </v:shape>
                  </w:pict>
                </mc:Fallback>
              </mc:AlternateContent>
            </w:r>
            <w:r>
              <w:rPr>
                <w:rFonts w:hint="default" w:ascii="Times New Roman" w:hAnsi="Times New Roman" w:cs="Times New Roman"/>
                <w:color w:val="auto"/>
                <w:highlight w:val="none"/>
                <w:lang w:val="en-US" w:eastAsia="zh-CN"/>
              </w:rPr>
              <mc:AlternateContent>
                <mc:Choice Requires="wps">
                  <w:drawing>
                    <wp:anchor distT="0" distB="0" distL="114300" distR="114300" simplePos="0" relativeHeight="251668480" behindDoc="0" locked="0" layoutInCell="1" allowOverlap="1">
                      <wp:simplePos x="0" y="0"/>
                      <wp:positionH relativeFrom="column">
                        <wp:posOffset>1488440</wp:posOffset>
                      </wp:positionH>
                      <wp:positionV relativeFrom="paragraph">
                        <wp:posOffset>2586990</wp:posOffset>
                      </wp:positionV>
                      <wp:extent cx="632460" cy="15684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32460" cy="15684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b/>
                                      <w:bCs/>
                                      <w:color w:val="ED7D31" w:themeColor="accent2"/>
                                      <w:sz w:val="16"/>
                                      <w:szCs w:val="20"/>
                                      <w:lang w:val="en-US"/>
                                      <w14:textFill>
                                        <w14:solidFill>
                                          <w14:schemeClr w14:val="accent2"/>
                                        </w14:solidFill>
                                      </w14:textFill>
                                    </w:rPr>
                                  </w:pPr>
                                  <w:r>
                                    <w:rPr>
                                      <w:rFonts w:hint="eastAsia"/>
                                      <w:b/>
                                      <w:bCs/>
                                      <w:color w:val="ED7D31" w:themeColor="accent2"/>
                                      <w:sz w:val="16"/>
                                      <w:szCs w:val="20"/>
                                      <w:lang w:val="en-US" w:eastAsia="zh-CN"/>
                                      <w14:textFill>
                                        <w14:solidFill>
                                          <w14:schemeClr w14:val="accent2"/>
                                        </w14:solidFill>
                                      </w14:textFill>
                                    </w:rPr>
                                    <w:t>未利用地</w:t>
                                  </w:r>
                                </w:p>
                              </w:txbxContent>
                            </wps:txbx>
                            <wps:bodyPr lIns="0" tIns="0" rIns="0" bIns="0" upright="1"/>
                          </wps:wsp>
                        </a:graphicData>
                      </a:graphic>
                    </wp:anchor>
                  </w:drawing>
                </mc:Choice>
                <mc:Fallback>
                  <w:pict>
                    <v:shape id="_x0000_s1026" o:spid="_x0000_s1026" o:spt="202" type="#_x0000_t202" style="position:absolute;left:0pt;margin-left:117.2pt;margin-top:203.7pt;height:12.35pt;width:49.8pt;z-index:251668480;mso-width-relative:page;mso-height-relative:page;" filled="f" stroked="f" coordsize="21600,21600" o:gfxdata="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CbBle2QAAAAsBAAAPAAAAAAAAAAEAIAAAACIAAABkcnMvZG93bnJldi54bWxQSwEC&#10;FAAUAAAACACHTuJAue0Zi7oBAABzAwAADgAAAAAAAAABACAAAAAo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b/>
                                <w:bCs/>
                                <w:color w:val="ED7D31" w:themeColor="accent2"/>
                                <w:sz w:val="16"/>
                                <w:szCs w:val="20"/>
                                <w:lang w:val="en-US"/>
                                <w14:textFill>
                                  <w14:solidFill>
                                    <w14:schemeClr w14:val="accent2"/>
                                  </w14:solidFill>
                                </w14:textFill>
                              </w:rPr>
                            </w:pPr>
                            <w:r>
                              <w:rPr>
                                <w:rFonts w:hint="eastAsia"/>
                                <w:b/>
                                <w:bCs/>
                                <w:color w:val="ED7D31" w:themeColor="accent2"/>
                                <w:sz w:val="16"/>
                                <w:szCs w:val="20"/>
                                <w:lang w:val="en-US" w:eastAsia="zh-CN"/>
                                <w14:textFill>
                                  <w14:solidFill>
                                    <w14:schemeClr w14:val="accent2"/>
                                  </w14:solidFill>
                                </w14:textFill>
                              </w:rPr>
                              <w:t>未利用地</w:t>
                            </w:r>
                          </w:p>
                        </w:txbxContent>
                      </v:textbox>
                    </v:shape>
                  </w:pict>
                </mc:Fallback>
              </mc:AlternateContent>
            </w:r>
            <w:r>
              <w:rPr>
                <w:rFonts w:hint="default" w:ascii="Times New Roman" w:hAnsi="Times New Roman" w:cs="Times New Roman"/>
                <w:color w:val="auto"/>
                <w:highlight w:val="none"/>
                <w:lang w:val="en-US" w:eastAsia="zh-CN"/>
              </w:rPr>
              <mc:AlternateContent>
                <mc:Choice Requires="wps">
                  <w:drawing>
                    <wp:anchor distT="0" distB="0" distL="114300" distR="114300" simplePos="0" relativeHeight="251682816" behindDoc="0" locked="0" layoutInCell="1" allowOverlap="1">
                      <wp:simplePos x="0" y="0"/>
                      <wp:positionH relativeFrom="column">
                        <wp:posOffset>3359785</wp:posOffset>
                      </wp:positionH>
                      <wp:positionV relativeFrom="paragraph">
                        <wp:posOffset>1826895</wp:posOffset>
                      </wp:positionV>
                      <wp:extent cx="367665" cy="16129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367665" cy="161290"/>
                              </a:xfrm>
                              <a:prstGeom prst="rect">
                                <a:avLst/>
                              </a:prstGeom>
                              <a:noFill/>
                              <a:ln>
                                <a:noFill/>
                              </a:ln>
                            </wps:spPr>
                            <wps:txbx>
                              <w:txbxContent>
                                <w:p>
                                  <w:pPr>
                                    <w:rPr>
                                      <w:rFonts w:hint="default" w:eastAsia="宋体"/>
                                      <w:b/>
                                      <w:color w:val="FF0000"/>
                                      <w:lang w:val="en-US" w:eastAsia="zh-CN"/>
                                    </w:rPr>
                                  </w:pPr>
                                  <w:r>
                                    <w:rPr>
                                      <w:rFonts w:hint="eastAsia"/>
                                      <w:b/>
                                      <w:color w:val="FF0000"/>
                                      <w:lang w:val="en-US" w:eastAsia="zh-CN"/>
                                    </w:rPr>
                                    <w:t>440m</w:t>
                                  </w:r>
                                </w:p>
                              </w:txbxContent>
                            </wps:txbx>
                            <wps:bodyPr lIns="0" tIns="0" rIns="0" bIns="0" upright="1"/>
                          </wps:wsp>
                        </a:graphicData>
                      </a:graphic>
                    </wp:anchor>
                  </w:drawing>
                </mc:Choice>
                <mc:Fallback>
                  <w:pict>
                    <v:shape id="_x0000_s1026" o:spid="_x0000_s1026" o:spt="202" type="#_x0000_t202" style="position:absolute;left:0pt;margin-left:264.55pt;margin-top:143.85pt;height:12.7pt;width:28.95pt;z-index:251682816;mso-width-relative:page;mso-height-relative:page;" filled="f" stroked="f" coordsize="21600,21600" o:gfxdata="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LqrMXbAAAACwEAAA8AAAAAAAAAAQAgAAAAIgAAAGRycy9kb3ducmV2Lnht&#10;bFBLAQIUABQAAAAIAIdO4kDHRjngvQEAAHMDAAAOAAAAAAAAAAEAIAAAACoBAABkcnMvZTJvRG9j&#10;LnhtbFBLBQYAAAAABgAGAFkBAABZBQAAAAA=&#10;">
                      <v:fill on="f" focussize="0,0"/>
                      <v:stroke on="f"/>
                      <v:imagedata o:title=""/>
                      <o:lock v:ext="edit" aspectratio="f"/>
                      <v:textbox inset="0mm,0mm,0mm,0mm">
                        <w:txbxContent>
                          <w:p>
                            <w:pPr>
                              <w:rPr>
                                <w:rFonts w:hint="default" w:eastAsia="宋体"/>
                                <w:b/>
                                <w:color w:val="FF0000"/>
                                <w:lang w:val="en-US" w:eastAsia="zh-CN"/>
                              </w:rPr>
                            </w:pPr>
                            <w:r>
                              <w:rPr>
                                <w:rFonts w:hint="eastAsia"/>
                                <w:b/>
                                <w:color w:val="FF0000"/>
                                <w:lang w:val="en-US" w:eastAsia="zh-CN"/>
                              </w:rPr>
                              <w:t>440m</w:t>
                            </w:r>
                          </w:p>
                        </w:txbxContent>
                      </v:textbox>
                    </v:shape>
                  </w:pict>
                </mc:Fallback>
              </mc:AlternateContent>
            </w:r>
            <w:r>
              <w:rPr>
                <w:color w:val="auto"/>
                <w:sz w:val="24"/>
                <w:highlight w:val="none"/>
              </w:rPr>
              <mc:AlternateContent>
                <mc:Choice Requires="wps">
                  <w:drawing>
                    <wp:anchor distT="0" distB="0" distL="114300" distR="114300" simplePos="0" relativeHeight="251681792" behindDoc="0" locked="0" layoutInCell="1" allowOverlap="1">
                      <wp:simplePos x="0" y="0"/>
                      <wp:positionH relativeFrom="column">
                        <wp:posOffset>2420620</wp:posOffset>
                      </wp:positionH>
                      <wp:positionV relativeFrom="paragraph">
                        <wp:posOffset>1918335</wp:posOffset>
                      </wp:positionV>
                      <wp:extent cx="1734185" cy="147955"/>
                      <wp:effectExtent l="0" t="31750" r="18415" b="48895"/>
                      <wp:wrapNone/>
                      <wp:docPr id="73" name="直接箭头连接符 73"/>
                      <wp:cNvGraphicFramePr/>
                      <a:graphic xmlns:a="http://schemas.openxmlformats.org/drawingml/2006/main">
                        <a:graphicData uri="http://schemas.microsoft.com/office/word/2010/wordprocessingShape">
                          <wps:wsp>
                            <wps:cNvCnPr>
                              <a:endCxn id="58" idx="8"/>
                            </wps:cNvCnPr>
                            <wps:spPr>
                              <a:xfrm flipV="1">
                                <a:off x="3841115" y="6891020"/>
                                <a:ext cx="1734185" cy="14795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0.6pt;margin-top:151.05pt;height:11.65pt;width:136.55pt;z-index:251681792;mso-width-relative:page;mso-height-relative:page;" filled="f" stroked="t" coordsize="21600,21600" o:gfxdata="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UAln7aAAAACwEAAA8AAAAAAAAAAQAgAAAAIgAAAGRy&#10;cy9kb3ducmV2LnhtbFBLAQIUABQAAAAIAIdO4kDA8F89PAIAAEIEAAAOAAAAAAAAAAEAIAAAACkB&#10;AABkcnMvZTJvRG9jLnhtbFBLBQYAAAAABgAGAFkBAADXBQAAAAA=&#10;">
                      <v:fill on="f" focussize="0,0"/>
                      <v:stroke weight="0.5pt" color="#FF0000 [3204]" miterlimit="8" joinstyle="miter" startarrow="block" endarrow="block"/>
                      <v:imagedata o:title=""/>
                      <o:lock v:ext="edit" aspectratio="f"/>
                    </v:shape>
                  </w:pict>
                </mc:Fallback>
              </mc:AlternateContent>
            </w:r>
            <w:r>
              <w:rPr>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1893570</wp:posOffset>
                      </wp:positionH>
                      <wp:positionV relativeFrom="paragraph">
                        <wp:posOffset>2432685</wp:posOffset>
                      </wp:positionV>
                      <wp:extent cx="202565" cy="177800"/>
                      <wp:effectExtent l="3175" t="3810" r="3810" b="8890"/>
                      <wp:wrapNone/>
                      <wp:docPr id="70" name="直接连接符 70"/>
                      <wp:cNvGraphicFramePr/>
                      <a:graphic xmlns:a="http://schemas.openxmlformats.org/drawingml/2006/main">
                        <a:graphicData uri="http://schemas.microsoft.com/office/word/2010/wordprocessingShape">
                          <wps:wsp>
                            <wps:cNvCnPr/>
                            <wps:spPr>
                              <a:xfrm flipV="1">
                                <a:off x="0" y="0"/>
                                <a:ext cx="202565" cy="17780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49.1pt;margin-top:191.55pt;height:14pt;width:15.95pt;z-index:251680768;mso-width-relative:page;mso-height-relative:page;" filled="f" stroked="t" coordsize="21600,21600" o:gfxdata="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3o79HYAAAACwEAAA8AAAAAAAAAAQAgAAAAIgAAAGRycy9kb3ducmV2LnhtbFBL&#10;AQIUABQAAAAIAIdO4kA4VSy69gEAAMEDAAAOAAAAAAAAAAEAIAAAACcBAABkcnMvZTJvRG9jLnht&#10;bFBLBQYAAAAABgAGAFkBAACPBQAAAAA=&#10;">
                      <v:fill on="f" focussize="0,0"/>
                      <v:stroke weight="0.5pt" color="#ED7D31 [3205]" miterlimit="8" joinstyle="miter"/>
                      <v:imagedata o:title=""/>
                      <o:lock v:ext="edit" aspectratio="f"/>
                    </v:line>
                  </w:pict>
                </mc:Fallback>
              </mc:AlternateContent>
            </w:r>
            <w:r>
              <w:rPr>
                <w:color w:val="auto"/>
                <w:sz w:val="24"/>
                <w:highlight w:val="none"/>
              </w:rPr>
              <mc:AlternateContent>
                <mc:Choice Requires="wps">
                  <w:drawing>
                    <wp:anchor distT="0" distB="0" distL="114300" distR="114300" simplePos="0" relativeHeight="251679744" behindDoc="0" locked="0" layoutInCell="1" allowOverlap="1">
                      <wp:simplePos x="0" y="0"/>
                      <wp:positionH relativeFrom="column">
                        <wp:posOffset>2054860</wp:posOffset>
                      </wp:positionH>
                      <wp:positionV relativeFrom="paragraph">
                        <wp:posOffset>2192655</wp:posOffset>
                      </wp:positionV>
                      <wp:extent cx="339725" cy="450850"/>
                      <wp:effectExtent l="6985" t="6985" r="15240" b="18415"/>
                      <wp:wrapNone/>
                      <wp:docPr id="68" name="任意多边形 68"/>
                      <wp:cNvGraphicFramePr/>
                      <a:graphic xmlns:a="http://schemas.openxmlformats.org/drawingml/2006/main">
                        <a:graphicData uri="http://schemas.microsoft.com/office/word/2010/wordprocessingShape">
                          <wps:wsp>
                            <wps:cNvSpPr/>
                            <wps:spPr>
                              <a:xfrm>
                                <a:off x="3269615" y="7165340"/>
                                <a:ext cx="339725" cy="450850"/>
                              </a:xfrm>
                              <a:custGeom>
                                <a:avLst/>
                                <a:gdLst>
                                  <a:gd name="connisteX0" fmla="*/ 74930 w 339725"/>
                                  <a:gd name="connsiteY0" fmla="*/ 0 h 450850"/>
                                  <a:gd name="connisteX1" fmla="*/ 0 w 339725"/>
                                  <a:gd name="connsiteY1" fmla="*/ 434340 h 450850"/>
                                  <a:gd name="connisteX2" fmla="*/ 53975 w 339725"/>
                                  <a:gd name="connsiteY2" fmla="*/ 450850 h 450850"/>
                                  <a:gd name="connisteX3" fmla="*/ 78740 w 339725"/>
                                  <a:gd name="connsiteY3" fmla="*/ 318770 h 450850"/>
                                  <a:gd name="connisteX4" fmla="*/ 190500 w 339725"/>
                                  <a:gd name="connsiteY4" fmla="*/ 182245 h 450850"/>
                                  <a:gd name="connisteX5" fmla="*/ 339725 w 339725"/>
                                  <a:gd name="connsiteY5" fmla="*/ 41275 h 450850"/>
                                  <a:gd name="connisteX6" fmla="*/ 74930 w 339725"/>
                                  <a:gd name="connsiteY6" fmla="*/ 0 h 4508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339725" h="450850">
                                    <a:moveTo>
                                      <a:pt x="74930" y="0"/>
                                    </a:moveTo>
                                    <a:lnTo>
                                      <a:pt x="0" y="434340"/>
                                    </a:lnTo>
                                    <a:lnTo>
                                      <a:pt x="53975" y="450850"/>
                                    </a:lnTo>
                                    <a:lnTo>
                                      <a:pt x="78740" y="318770"/>
                                    </a:lnTo>
                                    <a:lnTo>
                                      <a:pt x="190500" y="182245"/>
                                    </a:lnTo>
                                    <a:lnTo>
                                      <a:pt x="339725" y="41275"/>
                                    </a:lnTo>
                                    <a:lnTo>
                                      <a:pt x="74930" y="0"/>
                                    </a:ln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61.8pt;margin-top:172.65pt;height:35.5pt;width:26.75pt;z-index:251679744;mso-width-relative:page;mso-height-relative:page;" filled="f" stroked="t" coordsize="339725,450850" o:gfxdata="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8E9zVtgAAAALAQAADwAAAAAAAAABACAAAAAi&#10;AAAAZHJzL2Rvd25yZXYueG1sUEsBAhQAFAAAAAgAh07iQDcYb9JgAwAA5gkAAA4AAAAAAAAAAQAg&#10;AAAAJwEAAGRycy9lMm9Eb2MueG1sUEsFBgAAAAAGAAYAWQEAAPkGAAAAAA==&#10;" path="m74930,0l0,434340,53975,450850,78740,318770,190500,182245,339725,41275,74930,0xe">
                      <v:path o:connectlocs="74930,0;0,434340;53975,450850;78740,318770;190500,182245;339725,41275;74930,0" o:connectangles="0,0,0,0,0,0,0"/>
                      <v:fill on="f" focussize="0,0"/>
                      <v:stroke weight="1pt" color="#ED7D31 [3205]" miterlimit="8" joinstyle="miter"/>
                      <v:imagedata o:title=""/>
                      <o:lock v:ext="edit" aspectratio="f"/>
                    </v:shape>
                  </w:pict>
                </mc:Fallback>
              </mc:AlternateContent>
            </w:r>
            <w:r>
              <w:rPr>
                <w:rFonts w:hint="default" w:ascii="Times New Roman" w:hAnsi="Times New Roman" w:cs="Times New Roman"/>
                <w:color w:val="auto"/>
                <w:highlight w:val="none"/>
                <w:lang w:val="en-US" w:eastAsia="zh-CN"/>
              </w:rPr>
              <mc:AlternateContent>
                <mc:Choice Requires="wps">
                  <w:drawing>
                    <wp:anchor distT="0" distB="0" distL="114300" distR="114300" simplePos="0" relativeHeight="251666432" behindDoc="0" locked="0" layoutInCell="1" allowOverlap="1">
                      <wp:simplePos x="0" y="0"/>
                      <wp:positionH relativeFrom="column">
                        <wp:posOffset>1376680</wp:posOffset>
                      </wp:positionH>
                      <wp:positionV relativeFrom="paragraph">
                        <wp:posOffset>2200910</wp:posOffset>
                      </wp:positionV>
                      <wp:extent cx="574675" cy="16129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74675" cy="161290"/>
                              </a:xfrm>
                              <a:prstGeom prst="rect">
                                <a:avLst/>
                              </a:prstGeom>
                              <a:noFill/>
                              <a:ln>
                                <a:noFill/>
                              </a:ln>
                            </wps:spPr>
                            <wps:txbx>
                              <w:txbxContent>
                                <w:p>
                                  <w:pPr>
                                    <w:rPr>
                                      <w:b/>
                                      <w:color w:val="FF0000"/>
                                    </w:rPr>
                                  </w:pPr>
                                  <w:r>
                                    <w:rPr>
                                      <w:rFonts w:hint="eastAsia"/>
                                      <w:b/>
                                      <w:color w:val="FF0000"/>
                                    </w:rPr>
                                    <w:t>项目位置</w:t>
                                  </w:r>
                                </w:p>
                              </w:txbxContent>
                            </wps:txbx>
                            <wps:bodyPr lIns="0" tIns="0" rIns="0" bIns="0" upright="1"/>
                          </wps:wsp>
                        </a:graphicData>
                      </a:graphic>
                    </wp:anchor>
                  </w:drawing>
                </mc:Choice>
                <mc:Fallback>
                  <w:pict>
                    <v:shape id="_x0000_s1026" o:spid="_x0000_s1026" o:spt="202" type="#_x0000_t202" style="position:absolute;left:0pt;margin-left:108.4pt;margin-top:173.3pt;height:12.7pt;width:45.25pt;z-index:251666432;mso-width-relative:page;mso-height-relative:page;" filled="f" stroked="f" coordsize="21600,21600" o:gfxdata="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jmtZTaAAAACwEAAA8AAAAAAAAAAQAgAAAAIgAAAGRycy9kb3ducmV2LnhtbFBL&#10;AQIUABQAAAAIAIdO4kB+CpspuwEAAHMDAAAOAAAAAAAAAAEAIAAAACkBAABkcnMvZTJvRG9jLnht&#10;bFBLBQYAAAAABgAGAFkBAABWBQAAAAA=&#10;">
                      <v:fill on="f" focussize="0,0"/>
                      <v:stroke on="f"/>
                      <v:imagedata o:title=""/>
                      <o:lock v:ext="edit" aspectratio="f"/>
                      <v:textbox inset="0mm,0mm,0mm,0mm">
                        <w:txbxContent>
                          <w:p>
                            <w:pPr>
                              <w:rPr>
                                <w:b/>
                                <w:color w:val="FF0000"/>
                              </w:rPr>
                            </w:pPr>
                            <w:r>
                              <w:rPr>
                                <w:rFonts w:hint="eastAsia"/>
                                <w:b/>
                                <w:color w:val="FF0000"/>
                              </w:rPr>
                              <w:t>项目位置</w:t>
                            </w:r>
                          </w:p>
                        </w:txbxContent>
                      </v:textbox>
                    </v:shape>
                  </w:pict>
                </mc:Fallback>
              </mc:AlternateContent>
            </w:r>
            <w:r>
              <w:rPr>
                <w:color w:val="auto"/>
                <w:sz w:val="24"/>
                <w:highlight w:val="none"/>
              </w:rPr>
              <mc:AlternateContent>
                <mc:Choice Requires="wps">
                  <w:drawing>
                    <wp:anchor distT="0" distB="0" distL="114300" distR="114300" simplePos="0" relativeHeight="251672576" behindDoc="0" locked="0" layoutInCell="1" allowOverlap="1">
                      <wp:simplePos x="0" y="0"/>
                      <wp:positionH relativeFrom="column">
                        <wp:posOffset>1905635</wp:posOffset>
                      </wp:positionH>
                      <wp:positionV relativeFrom="paragraph">
                        <wp:posOffset>2057400</wp:posOffset>
                      </wp:positionV>
                      <wp:extent cx="292735" cy="246380"/>
                      <wp:effectExtent l="3175" t="3810" r="8890" b="16510"/>
                      <wp:wrapNone/>
                      <wp:docPr id="64" name="直接连接符 64"/>
                      <wp:cNvGraphicFramePr/>
                      <a:graphic xmlns:a="http://schemas.openxmlformats.org/drawingml/2006/main">
                        <a:graphicData uri="http://schemas.microsoft.com/office/word/2010/wordprocessingShape">
                          <wps:wsp>
                            <wps:cNvCnPr/>
                            <wps:spPr>
                              <a:xfrm flipV="1">
                                <a:off x="0" y="0"/>
                                <a:ext cx="292735" cy="2463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50.05pt;margin-top:162pt;height:19.4pt;width:23.05pt;z-index:251672576;mso-width-relative:page;mso-height-relative:page;" filled="f" stroked="t" coordsize="21600,21600" o:gfxdata="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OSMB1wAAAAsBAAAPAAAAAAAAAAEAIAAAACIAAABkcnMvZG93bnJldi54bWxQSwEC&#10;FAAUAAAACACHTuJAsWii4/UBAADBAwAADgAAAAAAAAABACAAAAAmAQAAZHJzL2Uyb0RvYy54bWxQ&#10;SwUGAAAAAAYABgBZAQAAjQUAAAAA&#10;">
                      <v:fill on="f" focussize="0,0"/>
                      <v:stroke weight="0.5pt" color="#FF0000 [3204]" miterlimit="8" joinstyle="miter"/>
                      <v:imagedata o:title=""/>
                      <o:lock v:ext="edit" aspectratio="f"/>
                    </v:line>
                  </w:pict>
                </mc:Fallback>
              </mc:AlternateContent>
            </w:r>
            <w:r>
              <w:rPr>
                <w:rFonts w:hint="default" w:ascii="Times New Roman" w:hAnsi="Times New Roman" w:cs="Times New Roman"/>
                <w:color w:val="auto"/>
                <w:highlight w:val="none"/>
                <w:lang w:val="en-US" w:eastAsia="zh-CN"/>
              </w:rPr>
              <mc:AlternateContent>
                <mc:Choice Requires="wps">
                  <w:drawing>
                    <wp:anchor distT="0" distB="0" distL="114300" distR="114300" simplePos="0" relativeHeight="251678720" behindDoc="0" locked="0" layoutInCell="1" allowOverlap="1">
                      <wp:simplePos x="0" y="0"/>
                      <wp:positionH relativeFrom="column">
                        <wp:posOffset>1562100</wp:posOffset>
                      </wp:positionH>
                      <wp:positionV relativeFrom="paragraph">
                        <wp:posOffset>1522095</wp:posOffset>
                      </wp:positionV>
                      <wp:extent cx="573405" cy="27178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573405" cy="271780"/>
                              </a:xfrm>
                              <a:prstGeom prst="rect">
                                <a:avLst/>
                              </a:prstGeom>
                              <a:noFill/>
                              <a:ln>
                                <a:noFill/>
                              </a:ln>
                            </wps:spPr>
                            <wps:txbx>
                              <w:txbxContent>
                                <w:p>
                                  <w:pPr>
                                    <w:jc w:val="center"/>
                                    <w:rPr>
                                      <w:rFonts w:hint="default" w:eastAsia="宋体"/>
                                      <w:b/>
                                      <w:bCs/>
                                      <w:color w:val="FFFF00"/>
                                      <w:sz w:val="16"/>
                                      <w:szCs w:val="16"/>
                                      <w:lang w:val="en-US" w:eastAsia="zh-CN"/>
                                    </w:rPr>
                                  </w:pPr>
                                  <w:r>
                                    <w:rPr>
                                      <w:rFonts w:hint="eastAsia"/>
                                      <w:b/>
                                      <w:bCs/>
                                      <w:color w:val="FFFF00"/>
                                      <w:sz w:val="16"/>
                                      <w:szCs w:val="16"/>
                                      <w:lang w:val="en-US" w:eastAsia="zh-CN"/>
                                    </w:rPr>
                                    <w:t>恒山磁选厂二车间</w:t>
                                  </w:r>
                                </w:p>
                              </w:txbxContent>
                            </wps:txbx>
                            <wps:bodyPr lIns="0" tIns="0" rIns="0" bIns="0" upright="1"/>
                          </wps:wsp>
                        </a:graphicData>
                      </a:graphic>
                    </wp:anchor>
                  </w:drawing>
                </mc:Choice>
                <mc:Fallback>
                  <w:pict>
                    <v:shape id="_x0000_s1026" o:spid="_x0000_s1026" o:spt="202" type="#_x0000_t202" style="position:absolute;left:0pt;margin-left:123pt;margin-top:119.85pt;height:21.4pt;width:45.15pt;z-index:251678720;mso-width-relative:page;mso-height-relative:page;" filled="f" stroked="f" coordsize="21600,21600" o:gfxdata="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kU/6doAAAALAQAADwAAAAAAAAABACAAAAAiAAAAZHJzL2Rvd25yZXYueG1s&#10;UEsBAhQAFAAAAAgAh07iQAJp9Im9AQAAcwMAAA4AAAAAAAAAAQAgAAAAKQEAAGRycy9lMm9Eb2Mu&#10;eG1sUEsFBgAAAAAGAAYAWQEAAFgFAAAAAA==&#10;">
                      <v:fill on="f" focussize="0,0"/>
                      <v:stroke on="f"/>
                      <v:imagedata o:title=""/>
                      <o:lock v:ext="edit" aspectratio="f"/>
                      <v:textbox inset="0mm,0mm,0mm,0mm">
                        <w:txbxContent>
                          <w:p>
                            <w:pPr>
                              <w:jc w:val="center"/>
                              <w:rPr>
                                <w:rFonts w:hint="default" w:eastAsia="宋体"/>
                                <w:b/>
                                <w:bCs/>
                                <w:color w:val="FFFF00"/>
                                <w:sz w:val="16"/>
                                <w:szCs w:val="16"/>
                                <w:lang w:val="en-US" w:eastAsia="zh-CN"/>
                              </w:rPr>
                            </w:pPr>
                            <w:r>
                              <w:rPr>
                                <w:rFonts w:hint="eastAsia"/>
                                <w:b/>
                                <w:bCs/>
                                <w:color w:val="FFFF00"/>
                                <w:sz w:val="16"/>
                                <w:szCs w:val="16"/>
                                <w:lang w:val="en-US" w:eastAsia="zh-CN"/>
                              </w:rPr>
                              <w:t>恒山磁选厂二车间</w:t>
                            </w:r>
                          </w:p>
                        </w:txbxContent>
                      </v:textbox>
                    </v:shape>
                  </w:pict>
                </mc:Fallback>
              </mc:AlternateContent>
            </w:r>
            <w:r>
              <w:rPr>
                <w:rFonts w:hint="default" w:ascii="Times New Roman" w:hAnsi="Times New Roman" w:cs="Times New Roman"/>
                <w:color w:val="auto"/>
                <w:highlight w:val="none"/>
                <w:lang w:val="en-US" w:eastAsia="zh-CN"/>
              </w:rPr>
              <mc:AlternateContent>
                <mc:Choice Requires="wps">
                  <w:drawing>
                    <wp:anchor distT="0" distB="0" distL="114300" distR="114300" simplePos="0" relativeHeight="251660288" behindDoc="0" locked="0" layoutInCell="1" allowOverlap="1">
                      <wp:simplePos x="0" y="0"/>
                      <wp:positionH relativeFrom="column">
                        <wp:posOffset>2638425</wp:posOffset>
                      </wp:positionH>
                      <wp:positionV relativeFrom="paragraph">
                        <wp:posOffset>2453005</wp:posOffset>
                      </wp:positionV>
                      <wp:extent cx="617220" cy="27686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617220" cy="276860"/>
                              </a:xfrm>
                              <a:prstGeom prst="rect">
                                <a:avLst/>
                              </a:prstGeom>
                              <a:noFill/>
                              <a:ln>
                                <a:noFill/>
                              </a:ln>
                            </wps:spPr>
                            <wps:txbx>
                              <w:txbxContent>
                                <w:p>
                                  <w:pPr>
                                    <w:rPr>
                                      <w:rFonts w:hint="default"/>
                                      <w:b/>
                                      <w:bCs/>
                                      <w:color w:val="0070C0"/>
                                      <w:szCs w:val="21"/>
                                      <w:lang w:val="en-US"/>
                                    </w:rPr>
                                  </w:pPr>
                                  <w:r>
                                    <w:rPr>
                                      <w:rFonts w:hint="eastAsia"/>
                                      <w:b/>
                                      <w:bCs/>
                                      <w:color w:val="0070C0"/>
                                      <w:szCs w:val="21"/>
                                      <w:lang w:val="en-US" w:eastAsia="zh-CN"/>
                                    </w:rPr>
                                    <w:t>尾矿库</w:t>
                                  </w:r>
                                </w:p>
                              </w:txbxContent>
                            </wps:txbx>
                            <wps:bodyPr upright="1"/>
                          </wps:wsp>
                        </a:graphicData>
                      </a:graphic>
                    </wp:anchor>
                  </w:drawing>
                </mc:Choice>
                <mc:Fallback>
                  <w:pict>
                    <v:shape id="_x0000_s1026" o:spid="_x0000_s1026" o:spt="202" type="#_x0000_t202" style="position:absolute;left:0pt;margin-left:207.75pt;margin-top:193.15pt;height:21.8pt;width:48.6pt;z-index:251660288;mso-width-relative:page;mso-height-relative:page;" filled="f" stroked="f" coordsize="21600,21600" o:gfxdata="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0hsWx2QAA&#10;AAsBAAAPAAAAAAAAAAEAIAAAACIAAABkcnMvZG93bnJldi54bWxQSwECFAAUAAAACACHTuJAAaTl&#10;wasBAABPAwAADgAAAAAAAAABACAAAAAoAQAAZHJzL2Uyb0RvYy54bWxQSwUGAAAAAAYABgBZAQAA&#10;RQUAAAAA&#10;">
                      <v:fill on="f" focussize="0,0"/>
                      <v:stroke on="f"/>
                      <v:imagedata o:title=""/>
                      <o:lock v:ext="edit" aspectratio="f"/>
                      <v:textbox>
                        <w:txbxContent>
                          <w:p>
                            <w:pPr>
                              <w:rPr>
                                <w:rFonts w:hint="default"/>
                                <w:b/>
                                <w:bCs/>
                                <w:color w:val="0070C0"/>
                                <w:szCs w:val="21"/>
                                <w:lang w:val="en-US"/>
                              </w:rPr>
                            </w:pPr>
                            <w:r>
                              <w:rPr>
                                <w:rFonts w:hint="eastAsia"/>
                                <w:b/>
                                <w:bCs/>
                                <w:color w:val="0070C0"/>
                                <w:szCs w:val="21"/>
                                <w:lang w:val="en-US" w:eastAsia="zh-CN"/>
                              </w:rPr>
                              <w:t>尾矿库</w:t>
                            </w:r>
                          </w:p>
                        </w:txbxContent>
                      </v:textbox>
                    </v:shape>
                  </w:pict>
                </mc:Fallback>
              </mc:AlternateContent>
            </w:r>
            <w:r>
              <w:rPr>
                <w:color w:val="auto"/>
                <w:sz w:val="24"/>
                <w:highlight w:val="none"/>
              </w:rPr>
              <mc:AlternateContent>
                <mc:Choice Requires="wps">
                  <w:drawing>
                    <wp:anchor distT="0" distB="0" distL="114300" distR="114300" simplePos="0" relativeHeight="251677696" behindDoc="0" locked="0" layoutInCell="1" allowOverlap="1">
                      <wp:simplePos x="0" y="0"/>
                      <wp:positionH relativeFrom="column">
                        <wp:posOffset>2013585</wp:posOffset>
                      </wp:positionH>
                      <wp:positionV relativeFrom="paragraph">
                        <wp:posOffset>1641475</wp:posOffset>
                      </wp:positionV>
                      <wp:extent cx="190500" cy="240665"/>
                      <wp:effectExtent l="0" t="0" r="19050" b="6985"/>
                      <wp:wrapNone/>
                      <wp:docPr id="66" name="直接箭头连接符 66"/>
                      <wp:cNvGraphicFramePr/>
                      <a:graphic xmlns:a="http://schemas.openxmlformats.org/drawingml/2006/main">
                        <a:graphicData uri="http://schemas.microsoft.com/office/word/2010/wordprocessingShape">
                          <wps:wsp>
                            <wps:cNvCnPr/>
                            <wps:spPr>
                              <a:xfrm flipH="1" flipV="1">
                                <a:off x="0" y="0"/>
                                <a:ext cx="190500" cy="24066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8.55pt;margin-top:129.25pt;height:18.95pt;width:15pt;z-index:251677696;mso-width-relative:page;mso-height-relative:page;" filled="f" stroked="t" coordsize="21600,21600" o:gfxdata="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TwEQtoAAAALAQAA&#10;DwAAAAAAAAABACAAAAAiAAAAZHJzL2Rvd25yZXYueG1sUEsBAhQAFAAAAAgAh07iQJFdd7MXAgAA&#10;+wMAAA4AAAAAAAAAAQAgAAAAKQEAAGRycy9lMm9Eb2MueG1sUEsFBgAAAAAGAAYAWQEAALIFAAAA&#10;AA==&#10;">
                      <v:fill on="f" focussize="0,0"/>
                      <v:stroke weight="0.5pt" color="#FFFF00 [3204]" miterlimit="8" joinstyle="miter" endarrow="block"/>
                      <v:imagedata o:title=""/>
                      <o:lock v:ext="edit" aspectratio="f"/>
                    </v:shape>
                  </w:pict>
                </mc:Fallback>
              </mc:AlternateContent>
            </w:r>
            <w:r>
              <w:rPr>
                <w:color w:val="auto"/>
                <w:sz w:val="24"/>
                <w:highlight w:val="none"/>
              </w:rPr>
              <mc:AlternateContent>
                <mc:Choice Requires="wps">
                  <w:drawing>
                    <wp:anchor distT="0" distB="0" distL="114300" distR="114300" simplePos="0" relativeHeight="251676672" behindDoc="0" locked="0" layoutInCell="1" allowOverlap="1">
                      <wp:simplePos x="0" y="0"/>
                      <wp:positionH relativeFrom="column">
                        <wp:posOffset>2547620</wp:posOffset>
                      </wp:positionH>
                      <wp:positionV relativeFrom="paragraph">
                        <wp:posOffset>2299970</wp:posOffset>
                      </wp:positionV>
                      <wp:extent cx="170180" cy="194945"/>
                      <wp:effectExtent l="3810" t="3175" r="16510" b="11430"/>
                      <wp:wrapNone/>
                      <wp:docPr id="63" name="直接箭头连接符 63"/>
                      <wp:cNvGraphicFramePr/>
                      <a:graphic xmlns:a="http://schemas.openxmlformats.org/drawingml/2006/main">
                        <a:graphicData uri="http://schemas.microsoft.com/office/word/2010/wordprocessingShape">
                          <wps:wsp>
                            <wps:cNvCnPr/>
                            <wps:spPr>
                              <a:xfrm>
                                <a:off x="3762375" y="7272655"/>
                                <a:ext cx="170180" cy="19494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0.6pt;margin-top:181.1pt;height:15.35pt;width:13.4pt;z-index:251676672;mso-width-relative:page;mso-height-relative:page;" filled="f" stroked="t" coordsize="21600,21600" o:gfxdata="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HlaTfZAAAA&#10;CwEAAA8AAAAAAAAAAQAgAAAAIgAAAGRycy9kb3ducmV2LnhtbFBLAQIUABQAAAAIAIdO4kD2dqn6&#10;HAIAAPMDAAAOAAAAAAAAAAEAIAAAACgBAABkcnMvZTJvRG9jLnhtbFBLBQYAAAAABgAGAFkBAAC2&#10;BQAAAAA=&#10;">
                      <v:fill on="f" focussize="0,0"/>
                      <v:stroke weight="0.5pt" color="#0070C0 [3204]" miterlimit="8" joinstyle="miter" endarrow="block"/>
                      <v:imagedata o:title=""/>
                      <o:lock v:ext="edit" aspectratio="f"/>
                    </v:shape>
                  </w:pict>
                </mc:Fallback>
              </mc:AlternateContent>
            </w:r>
            <w:r>
              <w:rPr>
                <w:color w:val="auto"/>
                <w:sz w:val="24"/>
                <w:highlight w:val="none"/>
              </w:rPr>
              <mc:AlternateContent>
                <mc:Choice Requires="wps">
                  <w:drawing>
                    <wp:anchor distT="0" distB="0" distL="114300" distR="114300" simplePos="0" relativeHeight="251675648" behindDoc="0" locked="0" layoutInCell="1" allowOverlap="1">
                      <wp:simplePos x="0" y="0"/>
                      <wp:positionH relativeFrom="column">
                        <wp:posOffset>2190115</wp:posOffset>
                      </wp:positionH>
                      <wp:positionV relativeFrom="paragraph">
                        <wp:posOffset>1894840</wp:posOffset>
                      </wp:positionV>
                      <wp:extent cx="277495" cy="127635"/>
                      <wp:effectExtent l="8890" t="17145" r="18415" b="26670"/>
                      <wp:wrapNone/>
                      <wp:docPr id="56" name="任意多边形 56"/>
                      <wp:cNvGraphicFramePr/>
                      <a:graphic xmlns:a="http://schemas.openxmlformats.org/drawingml/2006/main">
                        <a:graphicData uri="http://schemas.microsoft.com/office/word/2010/wordprocessingShape">
                          <wps:wsp>
                            <wps:cNvSpPr/>
                            <wps:spPr>
                              <a:xfrm rot="240000">
                                <a:off x="3406140" y="6842125"/>
                                <a:ext cx="277495" cy="127635"/>
                              </a:xfrm>
                              <a:custGeom>
                                <a:avLst/>
                                <a:gdLst>
                                  <a:gd name="connisteX0" fmla="*/ 4445 w 277495"/>
                                  <a:gd name="connsiteY0" fmla="*/ 0 h 153035"/>
                                  <a:gd name="connisteX1" fmla="*/ 0 w 277495"/>
                                  <a:gd name="connsiteY1" fmla="*/ 111760 h 153035"/>
                                  <a:gd name="connisteX2" fmla="*/ 265430 w 277495"/>
                                  <a:gd name="connsiteY2" fmla="*/ 153035 h 153035"/>
                                  <a:gd name="connisteX3" fmla="*/ 277495 w 277495"/>
                                  <a:gd name="connsiteY3" fmla="*/ 66040 h 153035"/>
                                  <a:gd name="connisteX4" fmla="*/ 4445 w 277495"/>
                                  <a:gd name="connsiteY4" fmla="*/ 0 h 15303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77495" h="153035">
                                    <a:moveTo>
                                      <a:pt x="4445" y="0"/>
                                    </a:moveTo>
                                    <a:lnTo>
                                      <a:pt x="0" y="111760"/>
                                    </a:lnTo>
                                    <a:lnTo>
                                      <a:pt x="265430" y="153035"/>
                                    </a:lnTo>
                                    <a:lnTo>
                                      <a:pt x="277495" y="66040"/>
                                    </a:lnTo>
                                    <a:lnTo>
                                      <a:pt x="4445" y="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72.45pt;margin-top:149.2pt;height:10.05pt;width:21.85pt;rotation:262144f;z-index:251675648;mso-width-relative:page;mso-height-relative:page;" filled="f" stroked="t" coordsize="277495,153035" o:gfxdata="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Pr8zAfZAAAACwEAAA8AAAAAAAAAAQAgAAAA&#10;IgAAAGRycy9kb3ducmV2LnhtbFBLAQIUABQAAAAIAIdO4kAsQLTCJwMAAFEIAAAOAAAAAAAAAAEA&#10;IAAAACgBAABkcnMvZTJvRG9jLnhtbFBLBQYAAAAABgAGAFkBAADBBgAAAAA=&#10;" path="m4445,0l0,111760,265430,153035,277495,66040,4445,0xe">
                      <v:path o:connectlocs="4445,0;0,93210;265430,127635;277495,55079;4445,0" o:connectangles="0,0,0,0,0"/>
                      <v:fill on="f" focussize="0,0"/>
                      <v:stroke weight="1pt" color="#FFFF00 [3204]" miterlimit="8" joinstyle="miter"/>
                      <v:imagedata o:title=""/>
                      <o:lock v:ext="edit" aspectratio="f"/>
                    </v:shape>
                  </w:pict>
                </mc:Fallback>
              </mc:AlternateContent>
            </w:r>
            <w:r>
              <w:rPr>
                <w:color w:val="auto"/>
                <w:highlight w:val="none"/>
              </w:rPr>
              <w:drawing>
                <wp:inline distT="0" distB="0" distL="114300" distR="114300">
                  <wp:extent cx="4663440" cy="4139565"/>
                  <wp:effectExtent l="19050" t="19050" r="22860" b="3238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10"/>
                          <a:stretch>
                            <a:fillRect/>
                          </a:stretch>
                        </pic:blipFill>
                        <pic:spPr>
                          <a:xfrm>
                            <a:off x="0" y="0"/>
                            <a:ext cx="4663440" cy="4139565"/>
                          </a:xfrm>
                          <a:prstGeom prst="rect">
                            <a:avLst/>
                          </a:prstGeom>
                          <a:noFill/>
                          <a:ln w="19050">
                            <a:solidFill>
                              <a:schemeClr val="tx1"/>
                            </a:solidFill>
                          </a:ln>
                        </pic:spPr>
                      </pic:pic>
                    </a:graphicData>
                  </a:graphic>
                </wp:inline>
              </w:drawing>
            </w:r>
            <w:r>
              <w:rPr>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1868805</wp:posOffset>
                      </wp:positionH>
                      <wp:positionV relativeFrom="paragraph">
                        <wp:posOffset>1844675</wp:posOffset>
                      </wp:positionV>
                      <wp:extent cx="1138555" cy="1221740"/>
                      <wp:effectExtent l="6985" t="6985" r="16510" b="9525"/>
                      <wp:wrapNone/>
                      <wp:docPr id="53" name="任意多边形 53"/>
                      <wp:cNvGraphicFramePr/>
                      <a:graphic xmlns:a="http://schemas.openxmlformats.org/drawingml/2006/main">
                        <a:graphicData uri="http://schemas.microsoft.com/office/word/2010/wordprocessingShape">
                          <wps:wsp>
                            <wps:cNvSpPr/>
                            <wps:spPr>
                              <a:xfrm>
                                <a:off x="3083560" y="6817360"/>
                                <a:ext cx="1138555" cy="1221740"/>
                              </a:xfrm>
                              <a:custGeom>
                                <a:avLst/>
                                <a:gdLst>
                                  <a:gd name="connisteX0" fmla="*/ 757555 w 1138555"/>
                                  <a:gd name="connsiteY0" fmla="*/ 136525 h 1221740"/>
                                  <a:gd name="connisteX1" fmla="*/ 488315 w 1138555"/>
                                  <a:gd name="connsiteY1" fmla="*/ 443230 h 1221740"/>
                                  <a:gd name="connisteX2" fmla="*/ 289560 w 1138555"/>
                                  <a:gd name="connsiteY2" fmla="*/ 687070 h 1221740"/>
                                  <a:gd name="connisteX3" fmla="*/ 273050 w 1138555"/>
                                  <a:gd name="connsiteY3" fmla="*/ 790575 h 1221740"/>
                                  <a:gd name="connisteX4" fmla="*/ 153035 w 1138555"/>
                                  <a:gd name="connsiteY4" fmla="*/ 935990 h 1221740"/>
                                  <a:gd name="connisteX5" fmla="*/ 33020 w 1138555"/>
                                  <a:gd name="connsiteY5" fmla="*/ 1068070 h 1221740"/>
                                  <a:gd name="connisteX6" fmla="*/ 0 w 1138555"/>
                                  <a:gd name="connsiteY6" fmla="*/ 1167765 h 1221740"/>
                                  <a:gd name="connisteX7" fmla="*/ 36830 w 1138555"/>
                                  <a:gd name="connsiteY7" fmla="*/ 1221740 h 1221740"/>
                                  <a:gd name="connisteX8" fmla="*/ 78740 w 1138555"/>
                                  <a:gd name="connsiteY8" fmla="*/ 1217295 h 1221740"/>
                                  <a:gd name="connisteX9" fmla="*/ 198755 w 1138555"/>
                                  <a:gd name="connsiteY9" fmla="*/ 1031240 h 1221740"/>
                                  <a:gd name="connisteX10" fmla="*/ 360045 w 1138555"/>
                                  <a:gd name="connsiteY10" fmla="*/ 865505 h 1221740"/>
                                  <a:gd name="connisteX11" fmla="*/ 438785 w 1138555"/>
                                  <a:gd name="connsiteY11" fmla="*/ 765810 h 1221740"/>
                                  <a:gd name="connisteX12" fmla="*/ 501015 w 1138555"/>
                                  <a:gd name="connsiteY12" fmla="*/ 645795 h 1221740"/>
                                  <a:gd name="connisteX13" fmla="*/ 770255 w 1138555"/>
                                  <a:gd name="connsiteY13" fmla="*/ 343535 h 1221740"/>
                                  <a:gd name="connisteX14" fmla="*/ 857250 w 1138555"/>
                                  <a:gd name="connsiteY14" fmla="*/ 210820 h 1221740"/>
                                  <a:gd name="connisteX15" fmla="*/ 981075 w 1138555"/>
                                  <a:gd name="connsiteY15" fmla="*/ 140335 h 1221740"/>
                                  <a:gd name="connisteX16" fmla="*/ 1130300 w 1138555"/>
                                  <a:gd name="connsiteY16" fmla="*/ 115570 h 1221740"/>
                                  <a:gd name="connisteX17" fmla="*/ 1138555 w 1138555"/>
                                  <a:gd name="connsiteY17" fmla="*/ 0 h 1221740"/>
                                  <a:gd name="connisteX18" fmla="*/ 1047750 w 1138555"/>
                                  <a:gd name="connsiteY18" fmla="*/ 8255 h 1221740"/>
                                  <a:gd name="connisteX19" fmla="*/ 944245 w 1138555"/>
                                  <a:gd name="connsiteY19" fmla="*/ 78740 h 1221740"/>
                                  <a:gd name="connisteX20" fmla="*/ 757555 w 1138555"/>
                                  <a:gd name="connsiteY20" fmla="*/ 136525 h 122174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Lst>
                                <a:rect l="l" t="t" r="r" b="b"/>
                                <a:pathLst>
                                  <a:path w="1138555" h="1221740">
                                    <a:moveTo>
                                      <a:pt x="757555" y="136525"/>
                                    </a:moveTo>
                                    <a:lnTo>
                                      <a:pt x="488315" y="443230"/>
                                    </a:lnTo>
                                    <a:lnTo>
                                      <a:pt x="289560" y="687070"/>
                                    </a:lnTo>
                                    <a:lnTo>
                                      <a:pt x="273050" y="790575"/>
                                    </a:lnTo>
                                    <a:lnTo>
                                      <a:pt x="153035" y="935990"/>
                                    </a:lnTo>
                                    <a:lnTo>
                                      <a:pt x="33020" y="1068070"/>
                                    </a:lnTo>
                                    <a:lnTo>
                                      <a:pt x="0" y="1167765"/>
                                    </a:lnTo>
                                    <a:lnTo>
                                      <a:pt x="36830" y="1221740"/>
                                    </a:lnTo>
                                    <a:lnTo>
                                      <a:pt x="78740" y="1217295"/>
                                    </a:lnTo>
                                    <a:lnTo>
                                      <a:pt x="198755" y="1031240"/>
                                    </a:lnTo>
                                    <a:lnTo>
                                      <a:pt x="360045" y="865505"/>
                                    </a:lnTo>
                                    <a:lnTo>
                                      <a:pt x="438785" y="765810"/>
                                    </a:lnTo>
                                    <a:lnTo>
                                      <a:pt x="501015" y="645795"/>
                                    </a:lnTo>
                                    <a:lnTo>
                                      <a:pt x="770255" y="343535"/>
                                    </a:lnTo>
                                    <a:lnTo>
                                      <a:pt x="857250" y="210820"/>
                                    </a:lnTo>
                                    <a:lnTo>
                                      <a:pt x="981075" y="140335"/>
                                    </a:lnTo>
                                    <a:lnTo>
                                      <a:pt x="1130300" y="115570"/>
                                    </a:lnTo>
                                    <a:lnTo>
                                      <a:pt x="1138555" y="0"/>
                                    </a:lnTo>
                                    <a:lnTo>
                                      <a:pt x="1047750" y="8255"/>
                                    </a:lnTo>
                                    <a:lnTo>
                                      <a:pt x="944245" y="78740"/>
                                    </a:lnTo>
                                    <a:lnTo>
                                      <a:pt x="757555" y="136525"/>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47.15pt;margin-top:145.25pt;height:96.2pt;width:89.65pt;z-index:251674624;mso-width-relative:page;mso-height-relative:page;" filled="f" stroked="t" coordsize="1138555,1221740" o:gfxdata="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" path="m757555,136525l488315,443230,289560,687070,273050,790575,153035,935990,33020,1068070,0,1167765,36830,1221740,78740,1217295,198755,1031240,360045,865505,438785,765810,501015,645795,770255,343535,857250,210820,981075,140335,1130300,115570,1138555,0,1047750,8255,944245,78740,757555,136525xe">
                      <v:path o:connectlocs="757555,136525;488315,443230;289560,687070;273050,790575;153035,935990;33020,1068070;0,1167765;36830,1221740;78740,1217295;198755,1031240;360045,865505;438785,765810;501015,645795;770255,343535;857250,210820;981075,140335;1130300,115570;1138555,0;1047750,8255;944245,78740;757555,136525" o:connectangles="0,0,0,0,0,0,0,0,0,0,0,0,0,0,0,0,0,0,0,0,0"/>
                      <v:fill on="f" focussize="0,0"/>
                      <v:stroke weight="1pt" color="#0070C0 [3204]" miterlimit="8" joinstyle="miter"/>
                      <v:imagedata o:title=""/>
                      <o:lock v:ext="edit" aspectratio="f"/>
                    </v:shape>
                  </w:pict>
                </mc:Fallback>
              </mc:AlternateContent>
            </w:r>
            <w:r>
              <w:rPr>
                <w:rFonts w:hint="default" w:ascii="Times New Roman" w:hAnsi="Times New Roman" w:cs="Times New Roman"/>
                <w:color w:val="auto"/>
                <w:highlight w:val="none"/>
                <w:lang w:val="en-US" w:eastAsia="zh-CN"/>
              </w:rPr>
              <mc:AlternateContent>
                <mc:Choice Requires="wps">
                  <w:drawing>
                    <wp:anchor distT="0" distB="0" distL="114300" distR="114300" simplePos="0" relativeHeight="251670528" behindDoc="0" locked="0" layoutInCell="1" allowOverlap="1">
                      <wp:simplePos x="0" y="0"/>
                      <wp:positionH relativeFrom="column">
                        <wp:posOffset>2434590</wp:posOffset>
                      </wp:positionH>
                      <wp:positionV relativeFrom="paragraph">
                        <wp:posOffset>1418590</wp:posOffset>
                      </wp:positionV>
                      <wp:extent cx="746760" cy="21082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746760" cy="21082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0070C0"/>
                                      <w:lang w:val="en-US" w:eastAsia="zh-CN"/>
                                    </w:rPr>
                                  </w:pPr>
                                  <w:r>
                                    <w:rPr>
                                      <w:rFonts w:hint="eastAsia"/>
                                      <w:b/>
                                      <w:bCs/>
                                      <w:color w:val="0070C0"/>
                                      <w:lang w:val="en-US" w:eastAsia="zh-CN"/>
                                    </w:rPr>
                                    <w:t>恒山磁选厂</w:t>
                                  </w:r>
                                </w:p>
                              </w:txbxContent>
                            </wps:txbx>
                            <wps:bodyPr lIns="0" tIns="0" rIns="0" bIns="0" upright="1"/>
                          </wps:wsp>
                        </a:graphicData>
                      </a:graphic>
                    </wp:anchor>
                  </w:drawing>
                </mc:Choice>
                <mc:Fallback>
                  <w:pict>
                    <v:shape id="_x0000_s1026" o:spid="_x0000_s1026" o:spt="202" type="#_x0000_t202" style="position:absolute;left:0pt;margin-left:191.7pt;margin-top:111.7pt;height:16.6pt;width:58.8pt;z-index:251670528;mso-width-relative:page;mso-height-relative:page;" filled="f" stroked="f" coordsize="21600,21600" o:gfxdata="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HgvIdkAAAALAQAADwAAAAAAAAABACAAAAAiAAAAZHJzL2Rvd25yZXYueG1sUEsB&#10;AhQAFAAAAAgAh07iQH0Nmhu7AQAAcwMAAA4AAAAAAAAAAQAgAAAAKAEAAGRycy9lMm9Eb2MueG1s&#10;UEsFBgAAAAAGAAYAWQEAAFUF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0070C0"/>
                                <w:lang w:val="en-US" w:eastAsia="zh-CN"/>
                              </w:rPr>
                            </w:pPr>
                            <w:r>
                              <w:rPr>
                                <w:rFonts w:hint="eastAsia"/>
                                <w:b/>
                                <w:bCs/>
                                <w:color w:val="0070C0"/>
                                <w:lang w:val="en-US" w:eastAsia="zh-CN"/>
                              </w:rPr>
                              <w:t>恒山磁选厂</w:t>
                            </w:r>
                          </w:p>
                        </w:txbxContent>
                      </v:textbox>
                    </v:shape>
                  </w:pict>
                </mc:Fallback>
              </mc:AlternateContent>
            </w:r>
            <w:r>
              <w:rPr>
                <w:color w:val="auto"/>
                <w:sz w:val="24"/>
                <w:highlight w:val="none"/>
              </w:rPr>
              <mc:AlternateContent>
                <mc:Choice Requires="wps">
                  <w:drawing>
                    <wp:anchor distT="0" distB="0" distL="114300" distR="114300" simplePos="0" relativeHeight="251673600" behindDoc="0" locked="0" layoutInCell="1" allowOverlap="1">
                      <wp:simplePos x="0" y="0"/>
                      <wp:positionH relativeFrom="column">
                        <wp:posOffset>2171700</wp:posOffset>
                      </wp:positionH>
                      <wp:positionV relativeFrom="paragraph">
                        <wp:posOffset>1303655</wp:posOffset>
                      </wp:positionV>
                      <wp:extent cx="1143000" cy="381635"/>
                      <wp:effectExtent l="6985" t="6985" r="12065" b="11430"/>
                      <wp:wrapNone/>
                      <wp:docPr id="45" name="任意多边形 45"/>
                      <wp:cNvGraphicFramePr/>
                      <a:graphic xmlns:a="http://schemas.openxmlformats.org/drawingml/2006/main">
                        <a:graphicData uri="http://schemas.microsoft.com/office/word/2010/wordprocessingShape">
                          <wps:wsp>
                            <wps:cNvSpPr/>
                            <wps:spPr>
                              <a:xfrm>
                                <a:off x="3386455" y="6308725"/>
                                <a:ext cx="1143000" cy="381635"/>
                              </a:xfrm>
                              <a:custGeom>
                                <a:avLst/>
                                <a:gdLst>
                                  <a:gd name="connisteX0" fmla="*/ 37465 w 1143000"/>
                                  <a:gd name="connsiteY0" fmla="*/ 0 h 328295"/>
                                  <a:gd name="connisteX1" fmla="*/ 0 w 1143000"/>
                                  <a:gd name="connsiteY1" fmla="*/ 174625 h 328295"/>
                                  <a:gd name="connisteX2" fmla="*/ 259715 w 1143000"/>
                                  <a:gd name="connsiteY2" fmla="*/ 243205 h 328295"/>
                                  <a:gd name="connisteX3" fmla="*/ 947420 w 1143000"/>
                                  <a:gd name="connsiteY3" fmla="*/ 312420 h 328295"/>
                                  <a:gd name="connisteX4" fmla="*/ 1069340 w 1143000"/>
                                  <a:gd name="connsiteY4" fmla="*/ 328295 h 328295"/>
                                  <a:gd name="connisteX5" fmla="*/ 1143000 w 1143000"/>
                                  <a:gd name="connsiteY5" fmla="*/ 254000 h 328295"/>
                                  <a:gd name="connisteX6" fmla="*/ 1132840 w 1143000"/>
                                  <a:gd name="connsiteY6" fmla="*/ 79375 h 328295"/>
                                  <a:gd name="connisteX7" fmla="*/ 693420 w 1143000"/>
                                  <a:gd name="connsiteY7" fmla="*/ 79375 h 328295"/>
                                  <a:gd name="connisteX8" fmla="*/ 37465 w 1143000"/>
                                  <a:gd name="connsiteY8" fmla="*/ 0 h 32829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143000" h="328295">
                                    <a:moveTo>
                                      <a:pt x="37465" y="0"/>
                                    </a:moveTo>
                                    <a:lnTo>
                                      <a:pt x="0" y="174625"/>
                                    </a:lnTo>
                                    <a:lnTo>
                                      <a:pt x="259715" y="243205"/>
                                    </a:lnTo>
                                    <a:lnTo>
                                      <a:pt x="947420" y="312420"/>
                                    </a:lnTo>
                                    <a:lnTo>
                                      <a:pt x="1069340" y="328295"/>
                                    </a:lnTo>
                                    <a:lnTo>
                                      <a:pt x="1143000" y="254000"/>
                                    </a:lnTo>
                                    <a:lnTo>
                                      <a:pt x="1132840" y="79375"/>
                                    </a:lnTo>
                                    <a:lnTo>
                                      <a:pt x="693420" y="79375"/>
                                    </a:lnTo>
                                    <a:lnTo>
                                      <a:pt x="37465" y="0"/>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71pt;margin-top:102.65pt;height:30.05pt;width:90pt;z-index:251673600;mso-width-relative:page;mso-height-relative:page;" filled="f" stroked="t" coordsize="1143000,328295" o:gfxdata="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" path="m37465,0l0,174625,259715,243205,947420,312420,1069340,328295,1143000,254000,1132840,79375,693420,79375,37465,0xe">
                      <v:path o:connectlocs="37465,0;0,202997;259715,282719;947420,363180;1069340,381635;1143000,295268;1132840,92271;693420,92271;37465,0" o:connectangles="0,0,0,0,0,0,0,0,0"/>
                      <v:fill on="f" focussize="0,0"/>
                      <v:stroke weight="1pt" color="#0070C0 [3204]" miterlimit="8" joinstyle="miter"/>
                      <v:imagedata o:title=""/>
                      <o:lock v:ext="edit" aspectratio="f"/>
                    </v:shape>
                  </w:pict>
                </mc:Fallback>
              </mc:AlternateContent>
            </w:r>
            <w:r>
              <w:rPr>
                <w:rFonts w:hint="default" w:ascii="Times New Roman" w:hAnsi="Times New Roman" w:cs="Times New Roman"/>
                <w:color w:val="auto"/>
                <w:highlight w:val="none"/>
                <w:lang w:val="en-US" w:eastAsia="zh-CN"/>
              </w:rPr>
              <mc:AlternateContent>
                <mc:Choice Requires="wps">
                  <w:drawing>
                    <wp:anchor distT="0" distB="0" distL="114300" distR="114300" simplePos="0" relativeHeight="251671552" behindDoc="0" locked="0" layoutInCell="1" allowOverlap="1">
                      <wp:simplePos x="0" y="0"/>
                      <wp:positionH relativeFrom="column">
                        <wp:posOffset>4512310</wp:posOffset>
                      </wp:positionH>
                      <wp:positionV relativeFrom="paragraph">
                        <wp:posOffset>1532255</wp:posOffset>
                      </wp:positionV>
                      <wp:extent cx="479425" cy="21082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479425" cy="21082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FFFF00"/>
                                      <w:lang w:val="en-US" w:eastAsia="zh-CN"/>
                                    </w:rPr>
                                  </w:pPr>
                                  <w:r>
                                    <w:rPr>
                                      <w:rFonts w:hint="eastAsia" w:eastAsia="宋体"/>
                                      <w:b/>
                                      <w:bCs/>
                                      <w:color w:val="FFFF00"/>
                                      <w:lang w:val="en-US" w:eastAsia="zh-CN"/>
                                    </w:rPr>
                                    <w:t>固庄村</w:t>
                                  </w:r>
                                </w:p>
                              </w:txbxContent>
                            </wps:txbx>
                            <wps:bodyPr lIns="0" tIns="0" rIns="0" bIns="0" upright="1"/>
                          </wps:wsp>
                        </a:graphicData>
                      </a:graphic>
                    </wp:anchor>
                  </w:drawing>
                </mc:Choice>
                <mc:Fallback>
                  <w:pict>
                    <v:shape id="_x0000_s1026" o:spid="_x0000_s1026" o:spt="202" type="#_x0000_t202" style="position:absolute;left:0pt;margin-left:355.3pt;margin-top:120.65pt;height:16.6pt;width:37.75pt;z-index:251671552;mso-width-relative:page;mso-height-relative:page;" filled="f" stroked="f" coordsize="21600,21600" o:gfxdata="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Cajt2gAAAAsBAAAPAAAAAAAAAAEAIAAAACIAAABkcnMvZG93bnJldi54bWxQ&#10;SwECFAAUAAAACACHTuJAa4tW17wBAABzAwAADgAAAAAAAAABACAAAAAp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FFFF00"/>
                                <w:lang w:val="en-US" w:eastAsia="zh-CN"/>
                              </w:rPr>
                            </w:pPr>
                            <w:r>
                              <w:rPr>
                                <w:rFonts w:hint="eastAsia" w:eastAsia="宋体"/>
                                <w:b/>
                                <w:bCs/>
                                <w:color w:val="FFFF00"/>
                                <w:lang w:val="en-US" w:eastAsia="zh-CN"/>
                              </w:rPr>
                              <w:t>固庄村</w:t>
                            </w:r>
                          </w:p>
                        </w:txbxContent>
                      </v:textbox>
                    </v:shape>
                  </w:pict>
                </mc:Fallback>
              </mc:AlternateContent>
            </w:r>
            <w:r>
              <w:rPr>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4137025</wp:posOffset>
                      </wp:positionH>
                      <wp:positionV relativeFrom="paragraph">
                        <wp:posOffset>799465</wp:posOffset>
                      </wp:positionV>
                      <wp:extent cx="955675" cy="1344930"/>
                      <wp:effectExtent l="0" t="0" r="15875" b="7620"/>
                      <wp:wrapNone/>
                      <wp:docPr id="58" name="任意多边形 58"/>
                      <wp:cNvGraphicFramePr/>
                      <a:graphic xmlns:a="http://schemas.openxmlformats.org/drawingml/2006/main">
                        <a:graphicData uri="http://schemas.microsoft.com/office/word/2010/wordprocessingShape">
                          <wps:wsp>
                            <wps:cNvSpPr/>
                            <wps:spPr>
                              <a:xfrm>
                                <a:off x="5382895" y="6271260"/>
                                <a:ext cx="955675" cy="1344930"/>
                              </a:xfrm>
                              <a:custGeom>
                                <a:avLst/>
                                <a:gdLst>
                                  <a:gd name="connisteX0" fmla="*/ 1041400 w 1082040"/>
                                  <a:gd name="connsiteY0" fmla="*/ 0 h 1701165"/>
                                  <a:gd name="connisteX1" fmla="*/ 680720 w 1082040"/>
                                  <a:gd name="connsiteY1" fmla="*/ 115570 h 1701165"/>
                                  <a:gd name="connisteX2" fmla="*/ 510540 w 1082040"/>
                                  <a:gd name="connsiteY2" fmla="*/ 279400 h 1701165"/>
                                  <a:gd name="connisteX3" fmla="*/ 394970 w 1082040"/>
                                  <a:gd name="connsiteY3" fmla="*/ 415290 h 1701165"/>
                                  <a:gd name="connisteX4" fmla="*/ 401320 w 1082040"/>
                                  <a:gd name="connsiteY4" fmla="*/ 483235 h 1701165"/>
                                  <a:gd name="connisteX5" fmla="*/ 313055 w 1082040"/>
                                  <a:gd name="connsiteY5" fmla="*/ 884555 h 1701165"/>
                                  <a:gd name="connisteX6" fmla="*/ 210820 w 1082040"/>
                                  <a:gd name="connsiteY6" fmla="*/ 1054735 h 1701165"/>
                                  <a:gd name="connisteX7" fmla="*/ 20320 w 1082040"/>
                                  <a:gd name="connsiteY7" fmla="*/ 1089025 h 1701165"/>
                                  <a:gd name="connisteX8" fmla="*/ 20320 w 1082040"/>
                                  <a:gd name="connsiteY8" fmla="*/ 1415415 h 1701165"/>
                                  <a:gd name="connisteX9" fmla="*/ 0 w 1082040"/>
                                  <a:gd name="connsiteY9" fmla="*/ 1605915 h 1701165"/>
                                  <a:gd name="connisteX10" fmla="*/ 204470 w 1082040"/>
                                  <a:gd name="connsiteY10" fmla="*/ 1694180 h 1701165"/>
                                  <a:gd name="connisteX11" fmla="*/ 340360 w 1082040"/>
                                  <a:gd name="connsiteY11" fmla="*/ 1701165 h 1701165"/>
                                  <a:gd name="connisteX12" fmla="*/ 448945 w 1082040"/>
                                  <a:gd name="connsiteY12" fmla="*/ 1571625 h 1701165"/>
                                  <a:gd name="connisteX13" fmla="*/ 1082040 w 1082040"/>
                                  <a:gd name="connsiteY13" fmla="*/ 1633220 h 1701165"/>
                                  <a:gd name="connisteX14" fmla="*/ 1041400 w 1082040"/>
                                  <a:gd name="connsiteY14" fmla="*/ 0 h 170116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Lst>
                                <a:rect l="l" t="t" r="r" b="b"/>
                                <a:pathLst>
                                  <a:path w="1082040" h="1701165">
                                    <a:moveTo>
                                      <a:pt x="1041400" y="0"/>
                                    </a:moveTo>
                                    <a:lnTo>
                                      <a:pt x="680720" y="115570"/>
                                    </a:lnTo>
                                    <a:lnTo>
                                      <a:pt x="510540" y="279400"/>
                                    </a:lnTo>
                                    <a:lnTo>
                                      <a:pt x="394970" y="415290"/>
                                    </a:lnTo>
                                    <a:lnTo>
                                      <a:pt x="401320" y="483235"/>
                                    </a:lnTo>
                                    <a:lnTo>
                                      <a:pt x="313055" y="884555"/>
                                    </a:lnTo>
                                    <a:lnTo>
                                      <a:pt x="210820" y="1054735"/>
                                    </a:lnTo>
                                    <a:lnTo>
                                      <a:pt x="20320" y="1089025"/>
                                    </a:lnTo>
                                    <a:lnTo>
                                      <a:pt x="20320" y="1415415"/>
                                    </a:lnTo>
                                    <a:lnTo>
                                      <a:pt x="0" y="1605915"/>
                                    </a:lnTo>
                                    <a:lnTo>
                                      <a:pt x="204470" y="1694180"/>
                                    </a:lnTo>
                                    <a:lnTo>
                                      <a:pt x="340360" y="1701165"/>
                                    </a:lnTo>
                                    <a:lnTo>
                                      <a:pt x="448945" y="1571625"/>
                                    </a:lnTo>
                                    <a:lnTo>
                                      <a:pt x="1082040" y="1633220"/>
                                    </a:lnTo>
                                    <a:lnTo>
                                      <a:pt x="1041400" y="0"/>
                                    </a:lnTo>
                                    <a:close/>
                                  </a:path>
                                </a:pathLst>
                              </a:custGeom>
                              <a:solidFill>
                                <a:srgbClr val="00B050">
                                  <a:alpha val="5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25.75pt;margin-top:62.95pt;height:105.9pt;width:75.25pt;z-index:251669504;mso-width-relative:page;mso-height-relative:page;" fillcolor="#00B050" filled="t" stroked="f" coordsize="1082040,1701165" o:gfxdata="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" path="m1041400,0l680720,115570,510540,279400,394970,415290,401320,483235,313055,884555,210820,1054735,20320,1089025,20320,1415415,0,1605915,204470,1694180,340360,1701165,448945,1571625,1082040,1633220,1041400,0xe">
                      <v:path o:connectlocs="919781,0;601222,91368;450917,220891;348843,328325;354452,382042;276495,699323;186199,833866;17946,860976;17946,1119017;0,1269625;180591,1339407;300611,1344930;396515,1242516;955675,1291213;919781,0" o:connectangles="0,0,0,0,0,0,0,0,0,0,0,0,0,0,0"/>
                      <v:fill on="t" opacity="34734f" focussize="0,0"/>
                      <v:stroke on="f" weight="1pt" miterlimit="8" joinstyle="miter"/>
                      <v:imagedata o:title=""/>
                      <o:lock v:ext="edit" aspectratio="f"/>
                    </v:shape>
                  </w:pict>
                </mc:Fallback>
              </mc:AlternateContent>
            </w:r>
            <w:r>
              <w:rPr>
                <w:rFonts w:hint="default" w:ascii="Times New Roman" w:hAnsi="Times New Roman" w:cs="Times New Roman"/>
                <w:color w:val="auto"/>
                <w:highlight w:val="none"/>
                <w:lang w:val="en-US" w:eastAsia="zh-CN"/>
              </w:rPr>
              <mc:AlternateContent>
                <mc:Choice Requires="wps">
                  <w:drawing>
                    <wp:anchor distT="0" distB="0" distL="114300" distR="114300" simplePos="0" relativeHeight="251663360" behindDoc="0" locked="0" layoutInCell="1" allowOverlap="1">
                      <wp:simplePos x="0" y="0"/>
                      <wp:positionH relativeFrom="column">
                        <wp:posOffset>4826635</wp:posOffset>
                      </wp:positionH>
                      <wp:positionV relativeFrom="paragraph">
                        <wp:posOffset>29210</wp:posOffset>
                      </wp:positionV>
                      <wp:extent cx="297180" cy="2413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97180" cy="241300"/>
                              </a:xfrm>
                              <a:prstGeom prst="rect">
                                <a:avLst/>
                              </a:prstGeom>
                              <a:noFill/>
                              <a:ln>
                                <a:noFill/>
                              </a:ln>
                            </wps:spPr>
                            <wps:txbx>
                              <w:txbxContent>
                                <w:p>
                                  <w:pPr>
                                    <w:rPr>
                                      <w:b/>
                                      <w:sz w:val="24"/>
                                    </w:rPr>
                                  </w:pPr>
                                  <w:r>
                                    <w:rPr>
                                      <w:rFonts w:hint="eastAsia"/>
                                      <w:b/>
                                    </w:rPr>
                                    <w:t>北</w:t>
                                  </w:r>
                                </w:p>
                              </w:txbxContent>
                            </wps:txbx>
                            <wps:bodyPr upright="1"/>
                          </wps:wsp>
                        </a:graphicData>
                      </a:graphic>
                    </wp:anchor>
                  </w:drawing>
                </mc:Choice>
                <mc:Fallback>
                  <w:pict>
                    <v:shape id="_x0000_s1026" o:spid="_x0000_s1026" o:spt="202" type="#_x0000_t202" style="position:absolute;left:0pt;margin-left:380.05pt;margin-top:2.3pt;height:19pt;width:23.4pt;z-index:251663360;mso-width-relative:page;mso-height-relative:page;" filled="f" stroked="f" coordsize="21600,21600" o:gfxdata="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eP+2tUAAAAI&#10;AQAADwAAAAAAAAABACAAAAAiAAAAZHJzL2Rvd25yZXYueG1sUEsBAhQAFAAAAAgAh07iQNtDMQyt&#10;AQAATQMAAA4AAAAAAAAAAQAgAAAAJAEAAGRycy9lMm9Eb2MueG1sUEsFBgAAAAAGAAYAWQEAAEMF&#10;AAAAAA==&#10;">
                      <v:fill on="f" focussize="0,0"/>
                      <v:stroke on="f"/>
                      <v:imagedata o:title=""/>
                      <o:lock v:ext="edit" aspectratio="f"/>
                      <v:textbox>
                        <w:txbxContent>
                          <w:p>
                            <w:pPr>
                              <w:rPr>
                                <w:b/>
                                <w:sz w:val="24"/>
                              </w:rPr>
                            </w:pPr>
                            <w:r>
                              <w:rPr>
                                <w:rFonts w:hint="eastAsia"/>
                                <w:b/>
                              </w:rPr>
                              <w:t>北</w:t>
                            </w:r>
                          </w:p>
                        </w:txbxContent>
                      </v:textbox>
                    </v:shape>
                  </w:pict>
                </mc:Fallback>
              </mc:AlternateContent>
            </w:r>
            <w:r>
              <w:rPr>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4960620</wp:posOffset>
                      </wp:positionH>
                      <wp:positionV relativeFrom="paragraph">
                        <wp:posOffset>251460</wp:posOffset>
                      </wp:positionV>
                      <wp:extent cx="111760" cy="392430"/>
                      <wp:effectExtent l="8255" t="9525" r="13335" b="17145"/>
                      <wp:wrapNone/>
                      <wp:docPr id="6" name="上箭头 6"/>
                      <wp:cNvGraphicFramePr/>
                      <a:graphic xmlns:a="http://schemas.openxmlformats.org/drawingml/2006/main">
                        <a:graphicData uri="http://schemas.microsoft.com/office/word/2010/wordprocessingShape">
                          <wps:wsp>
                            <wps:cNvSpPr/>
                            <wps:spPr>
                              <a:xfrm>
                                <a:off x="0" y="0"/>
                                <a:ext cx="111760" cy="392430"/>
                              </a:xfrm>
                              <a:prstGeom prst="upArrow">
                                <a:avLst>
                                  <a:gd name="adj1" fmla="val 50000"/>
                                  <a:gd name="adj2" fmla="val 87784"/>
                                </a:avLst>
                              </a:prstGeom>
                              <a:solidFill>
                                <a:srgbClr val="000000"/>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68" type="#_x0000_t68" style="position:absolute;left:0pt;margin-left:390.6pt;margin-top:19.8pt;height:30.9pt;width:8.8pt;z-index:251667456;mso-width-relative:page;mso-height-relative:page;" fillcolor="#000000" filled="t" stroked="t" coordsize="21600,21600" o:gfxdata="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uS6kdoAAAAKAQAADwAAAAAAAAABACAAAAAiAAAAZHJzL2Rvd25yZXYueG1sUEsBAhQAFAAA&#10;AAgAh07iQAVHg+EmAgAAfwQAAA4AAAAAAAAAAQAgAAAAKQEAAGRycy9lMm9Eb2MueG1sUEsFBgAA&#10;AAAGAAYAWQEAAMEFAAAAAA==&#10;" adj="5399,5400">
                      <v:fill on="t" focussize="0,0"/>
                      <v:stroke color="#000000" joinstyle="miter"/>
                      <v:imagedata o:title=""/>
                      <o:lock v:ext="edit" aspectratio="f"/>
                      <v:textbox>
                        <w:txbxContent>
                          <w:p>
                            <w:pPr>
                              <w:jc w:val="center"/>
                            </w:pPr>
                          </w:p>
                        </w:txbxContent>
                      </v:textbox>
                    </v:shape>
                  </w:pict>
                </mc:Fallback>
              </mc:AlternateContent>
            </w:r>
            <w:r>
              <w:rPr>
                <w:rFonts w:hint="default" w:ascii="Times New Roman" w:hAnsi="Times New Roman" w:cs="Times New Roman"/>
                <w:color w:val="auto"/>
                <w:sz w:val="21"/>
                <w:szCs w:val="21"/>
                <w:highlight w:val="none"/>
                <w:lang w:val="en-US" w:eastAsia="zh-CN"/>
              </w:rPr>
              <mc:AlternateContent>
                <mc:Choice Requires="wps">
                  <w:drawing>
                    <wp:anchor distT="0" distB="0" distL="114300" distR="114300" simplePos="0" relativeHeight="251664384" behindDoc="0" locked="0" layoutInCell="1" allowOverlap="1">
                      <wp:simplePos x="0" y="0"/>
                      <wp:positionH relativeFrom="column">
                        <wp:posOffset>4260850</wp:posOffset>
                      </wp:positionH>
                      <wp:positionV relativeFrom="paragraph">
                        <wp:posOffset>58850530</wp:posOffset>
                      </wp:positionV>
                      <wp:extent cx="276860" cy="242570"/>
                      <wp:effectExtent l="3175" t="3810" r="5715" b="20320"/>
                      <wp:wrapNone/>
                      <wp:docPr id="21" name="直接箭头连接符 21"/>
                      <wp:cNvGraphicFramePr/>
                      <a:graphic xmlns:a="http://schemas.openxmlformats.org/drawingml/2006/main">
                        <a:graphicData uri="http://schemas.microsoft.com/office/word/2010/wordprocessingShape">
                          <wps:wsp>
                            <wps:cNvCnPr/>
                            <wps:spPr>
                              <a:xfrm flipV="1">
                                <a:off x="0" y="0"/>
                                <a:ext cx="276860" cy="2425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35.5pt;margin-top:4633.9pt;height:19.1pt;width:21.8pt;z-index:251664384;mso-width-relative:page;mso-height-relative:page;" filled="f" stroked="t" coordsize="21600,21600" o:gfxdata="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osYnNoAAAANAQAADwAAAAAAAAABACAA&#10;AAAiAAAAZHJzL2Rvd25yZXYueG1sUEsBAhQAFAAAAAgAh07iQPijuV0LAgAA/AMAAA4AAAAAAAAA&#10;AQAgAAAAKQEAAGRycy9lMm9Eb2MueG1sUEsFBgAAAAAGAAYAWQEAAKYFAAAAAA==&#10;">
                      <v:fill on="f" focussize="0,0"/>
                      <v:stroke color="#000000" joinstyle="round"/>
                      <v:imagedata o:title=""/>
                      <o:lock v:ext="edit" aspectratio="f"/>
                    </v:shape>
                  </w:pict>
                </mc:Fallback>
              </mc:AlternateContent>
            </w:r>
            <w:r>
              <w:rPr>
                <w:rFonts w:hint="default" w:ascii="Times New Roman" w:hAnsi="Times New Roman" w:cs="Times New Roman"/>
                <w:color w:val="auto"/>
                <w:sz w:val="21"/>
                <w:szCs w:val="21"/>
                <w:highlight w:val="none"/>
                <w:lang w:val="en-US" w:eastAsia="zh-CN"/>
              </w:rPr>
              <mc:AlternateContent>
                <mc:Choice Requires="wps">
                  <w:drawing>
                    <wp:anchor distT="0" distB="0" distL="114300" distR="114300" simplePos="0" relativeHeight="251662336" behindDoc="0" locked="0" layoutInCell="1" allowOverlap="1">
                      <wp:simplePos x="0" y="0"/>
                      <wp:positionH relativeFrom="column">
                        <wp:posOffset>4526915</wp:posOffset>
                      </wp:positionH>
                      <wp:positionV relativeFrom="paragraph">
                        <wp:posOffset>58850530</wp:posOffset>
                      </wp:positionV>
                      <wp:extent cx="10795" cy="359410"/>
                      <wp:effectExtent l="34925" t="0" r="49530" b="2540"/>
                      <wp:wrapNone/>
                      <wp:docPr id="22" name="直接箭头连接符 22"/>
                      <wp:cNvGraphicFramePr/>
                      <a:graphic xmlns:a="http://schemas.openxmlformats.org/drawingml/2006/main">
                        <a:graphicData uri="http://schemas.microsoft.com/office/word/2010/wordprocessingShape">
                          <wps:wsp>
                            <wps:cNvCnPr/>
                            <wps:spPr>
                              <a:xfrm flipV="1">
                                <a:off x="0" y="0"/>
                                <a:ext cx="10795" cy="359410"/>
                              </a:xfrm>
                              <a:prstGeom prst="straightConnector1">
                                <a:avLst/>
                              </a:prstGeom>
                              <a:ln w="285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56.45pt;margin-top:4633.9pt;height:28.3pt;width:0.85pt;z-index:251662336;mso-width-relative:page;mso-height-relative:page;" filled="f" stroked="t" coordsize="21600,21600" o:gfxdata="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4wS8Z2wAAAA0BAAAPAAAA&#10;AAAAAAEAIAAAACIAAABkcnMvZG93bnJldi54bWxQSwECFAAUAAAACACHTuJA1jFL4BICAAAABAAA&#10;DgAAAAAAAAABACAAAAAqAQAAZHJzL2Uyb0RvYy54bWxQSwUGAAAAAAYABgBZAQAArgUAAAAA&#10;">
                      <v:fill on="f" focussize="0,0"/>
                      <v:stroke weight="2.25pt" color="#000000" joinstyle="round" endarrow="block"/>
                      <v:imagedata o:title=""/>
                      <o:lock v:ext="edit" aspectratio="f"/>
                    </v:shape>
                  </w:pict>
                </mc:Fallback>
              </mc:AlternateContent>
            </w:r>
            <w:r>
              <w:rPr>
                <w:rFonts w:hint="default" w:ascii="Times New Roman" w:hAnsi="Times New Roman" w:cs="Times New Roman"/>
                <w:color w:val="auto"/>
                <w:sz w:val="21"/>
                <w:szCs w:val="21"/>
                <w:highlight w:val="none"/>
                <w:lang w:val="en-US" w:eastAsia="zh-CN"/>
              </w:rPr>
              <mc:AlternateContent>
                <mc:Choice Requires="wps">
                  <w:drawing>
                    <wp:anchor distT="0" distB="0" distL="114300" distR="114300" simplePos="0" relativeHeight="251665408" behindDoc="0" locked="0" layoutInCell="1" allowOverlap="1">
                      <wp:simplePos x="0" y="0"/>
                      <wp:positionH relativeFrom="column">
                        <wp:posOffset>4537710</wp:posOffset>
                      </wp:positionH>
                      <wp:positionV relativeFrom="paragraph">
                        <wp:posOffset>58850530</wp:posOffset>
                      </wp:positionV>
                      <wp:extent cx="320040" cy="292100"/>
                      <wp:effectExtent l="3175" t="3810" r="19685" b="8890"/>
                      <wp:wrapNone/>
                      <wp:docPr id="23" name="直接箭头连接符 23"/>
                      <wp:cNvGraphicFramePr/>
                      <a:graphic xmlns:a="http://schemas.openxmlformats.org/drawingml/2006/main">
                        <a:graphicData uri="http://schemas.microsoft.com/office/word/2010/wordprocessingShape">
                          <wps:wsp>
                            <wps:cNvCnPr/>
                            <wps:spPr>
                              <a:xfrm flipH="1" flipV="1">
                                <a:off x="0" y="0"/>
                                <a:ext cx="320040" cy="2921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 y;margin-left:357.3pt;margin-top:4633.9pt;height:23pt;width:25.2pt;z-index:251665408;mso-width-relative:page;mso-height-relative:page;" filled="f" stroked="t" coordsize="21600,21600" o:gfxdata="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sY8N3AAAAA0BAAAPAAAAAAAA&#10;AAEAIAAAACIAAABkcnMvZG93bnJldi54bWxQSwECFAAUAAAACACHTuJANYpytA4CAAAGBAAADgAA&#10;AAAAAAABACAAAAArAQAAZHJzL2Uyb0RvYy54bWxQSwUGAAAAAAYABgBZAQAAqwUAAAAA&#10;">
                      <v:fill on="f" focussize="0,0"/>
                      <v:stroke color="#000000" joinstyle="round"/>
                      <v:imagedata o:title=""/>
                      <o:lock v:ext="edit" aspectratio="f"/>
                    </v:shape>
                  </w:pict>
                </mc:Fallback>
              </mc:AlternateContent>
            </w:r>
          </w:p>
          <w:p>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sz w:val="21"/>
                <w:szCs w:val="21"/>
                <w:highlight w:val="none"/>
              </w:rPr>
              <w:t>图</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-1 项目周边四邻关系图</w:t>
            </w:r>
          </w:p>
          <w:p>
            <w:pPr>
              <w:numPr>
                <w:ilvl w:val="0"/>
                <w:numId w:val="0"/>
              </w:numPr>
              <w:adjustRightInd w:val="0"/>
              <w:snapToGrid w:val="0"/>
              <w:spacing w:line="360" w:lineRule="auto"/>
              <w:rPr>
                <w:rFonts w:hint="default" w:ascii="Times New Roman" w:hAnsi="Times New Roman" w:cs="Times New Roman"/>
                <w:b/>
                <w:color w:val="auto"/>
                <w:sz w:val="24"/>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olor w:val="auto"/>
                <w:highlight w:val="none"/>
              </w:rPr>
            </w:pPr>
            <w:r>
              <w:rPr>
                <w:rFonts w:hint="eastAsia" w:cs="Times New Roman"/>
                <w:b/>
                <w:color w:val="auto"/>
                <w:sz w:val="24"/>
                <w:highlight w:val="none"/>
                <w:lang w:val="en-US" w:eastAsia="zh-CN"/>
              </w:rPr>
              <w:t>3、</w:t>
            </w:r>
            <w:r>
              <w:rPr>
                <w:rFonts w:hint="default" w:ascii="Times New Roman" w:hAnsi="Times New Roman" w:cs="Times New Roman"/>
                <w:b/>
                <w:color w:val="auto"/>
                <w:sz w:val="24"/>
                <w:highlight w:val="none"/>
              </w:rPr>
              <w:t>产品方案</w:t>
            </w:r>
          </w:p>
          <w:p>
            <w:pPr>
              <w:adjustRightInd w:val="0"/>
              <w:snapToGrid w:val="0"/>
              <w:spacing w:line="360" w:lineRule="auto"/>
              <w:ind w:firstLine="480" w:firstLineChars="200"/>
              <w:rPr>
                <w:rFonts w:hint="default"/>
                <w:color w:val="auto"/>
                <w:sz w:val="24"/>
                <w:highlight w:val="none"/>
                <w:lang w:val="en-US" w:eastAsia="zh-CN"/>
              </w:rPr>
            </w:pPr>
            <w:r>
              <w:rPr>
                <w:color w:val="auto"/>
                <w:sz w:val="24"/>
                <w:highlight w:val="none"/>
              </w:rPr>
              <w:t>本项目</w:t>
            </w:r>
            <w:r>
              <w:rPr>
                <w:rFonts w:hint="eastAsia"/>
                <w:color w:val="auto"/>
                <w:sz w:val="24"/>
                <w:highlight w:val="none"/>
                <w:lang w:val="en-US" w:eastAsia="zh-CN"/>
              </w:rPr>
              <w:t>主要为石膏线条，其</w:t>
            </w:r>
            <w:r>
              <w:rPr>
                <w:rFonts w:hint="eastAsia"/>
                <w:color w:val="auto"/>
                <w:sz w:val="24"/>
                <w:highlight w:val="none"/>
                <w:lang w:eastAsia="zh-CN"/>
              </w:rPr>
              <w:t>产品</w:t>
            </w:r>
            <w:r>
              <w:rPr>
                <w:rFonts w:hint="eastAsia"/>
                <w:color w:val="auto"/>
                <w:sz w:val="24"/>
                <w:highlight w:val="none"/>
                <w:lang w:val="en-US" w:eastAsia="zh-CN"/>
              </w:rPr>
              <w:t>方案如下：</w:t>
            </w:r>
          </w:p>
          <w:p>
            <w:pPr>
              <w:pStyle w:val="12"/>
              <w:adjustRightInd w:val="0"/>
              <w:spacing w:line="240" w:lineRule="auto"/>
              <w:ind w:left="0" w:leftChars="0" w:right="0" w:righ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eastAsia" w:cs="Times New Roman"/>
                <w:b/>
                <w:color w:val="auto"/>
                <w:szCs w:val="21"/>
                <w:highlight w:val="none"/>
                <w:lang w:val="en-US" w:eastAsia="zh-CN"/>
              </w:rPr>
              <w:t>2-1</w:t>
            </w:r>
            <w:r>
              <w:rPr>
                <w:rFonts w:hint="default" w:ascii="Times New Roman" w:hAnsi="Times New Roman" w:cs="Times New Roman"/>
                <w:b/>
                <w:color w:val="auto"/>
                <w:szCs w:val="21"/>
                <w:highlight w:val="none"/>
              </w:rPr>
              <w:t xml:space="preserve"> 产品方案一览表</w:t>
            </w:r>
          </w:p>
          <w:tbl>
            <w:tblPr>
              <w:tblStyle w:val="24"/>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1"/>
              <w:gridCol w:w="1047"/>
              <w:gridCol w:w="2066"/>
              <w:gridCol w:w="1334"/>
              <w:gridCol w:w="1491"/>
              <w:gridCol w:w="14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8" w:hRule="atLeast"/>
              </w:trPr>
              <w:tc>
                <w:tcPr>
                  <w:tcW w:w="659"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产品名称</w:t>
                  </w:r>
                </w:p>
              </w:tc>
              <w:tc>
                <w:tcPr>
                  <w:tcW w:w="615" w:type="pct"/>
                  <w:noWrap w:val="0"/>
                  <w:vAlign w:val="center"/>
                </w:tcPr>
                <w:p>
                  <w:pPr>
                    <w:pStyle w:val="13"/>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产量</w:t>
                  </w:r>
                </w:p>
                <w:p>
                  <w:pPr>
                    <w:pStyle w:val="13"/>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w:t>
                  </w:r>
                  <w:r>
                    <w:rPr>
                      <w:rFonts w:hint="default" w:ascii="Times New Roman" w:hAnsi="Times New Roman" w:eastAsia="宋体" w:cs="Times New Roman"/>
                      <w:color w:val="auto"/>
                      <w:sz w:val="21"/>
                      <w:szCs w:val="21"/>
                      <w:highlight w:val="none"/>
                      <w:lang w:val="en-US" w:eastAsia="zh-CN"/>
                    </w:rPr>
                    <w:t>万m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highlight w:val="none"/>
                      <w:lang w:val="en-US" w:eastAsia="zh-CN"/>
                    </w:rPr>
                    <w:t>）</w:t>
                  </w:r>
                </w:p>
              </w:tc>
              <w:tc>
                <w:tcPr>
                  <w:tcW w:w="121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规格</w:t>
                  </w:r>
                </w:p>
              </w:tc>
              <w:tc>
                <w:tcPr>
                  <w:tcW w:w="78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每根重量 （kg）</w:t>
                  </w:r>
                </w:p>
              </w:tc>
              <w:tc>
                <w:tcPr>
                  <w:tcW w:w="87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折合根数</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（万根）</w:t>
                  </w:r>
                </w:p>
              </w:tc>
              <w:tc>
                <w:tcPr>
                  <w:tcW w:w="850"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总重量（t）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 w:hRule="atLeast"/>
              </w:trPr>
              <w:tc>
                <w:tcPr>
                  <w:tcW w:w="659" w:type="pct"/>
                  <w:noWrap w:val="0"/>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石膏线条</w:t>
                  </w:r>
                </w:p>
              </w:tc>
              <w:tc>
                <w:tcPr>
                  <w:tcW w:w="615" w:type="pct"/>
                  <w:noWrap w:val="0"/>
                  <w:vAlign w:val="center"/>
                </w:tcPr>
                <w:p>
                  <w:pPr>
                    <w:pStyle w:val="1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bidi="zh-CN"/>
                    </w:rPr>
                    <w:t>35</w:t>
                  </w:r>
                  <w:r>
                    <w:rPr>
                      <w:rFonts w:hint="default" w:ascii="Times New Roman" w:hAnsi="Times New Roman" w:eastAsia="宋体" w:cs="Times New Roman"/>
                      <w:color w:val="auto"/>
                      <w:sz w:val="21"/>
                      <w:szCs w:val="21"/>
                      <w:highlight w:val="none"/>
                      <w:lang w:val="en-US" w:eastAsia="zh-CN" w:bidi="zh-CN"/>
                    </w:rPr>
                    <w:t>00</w:t>
                  </w:r>
                </w:p>
              </w:tc>
              <w:tc>
                <w:tcPr>
                  <w:tcW w:w="121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2.5m×</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0mm×10mm</w:t>
                  </w:r>
                </w:p>
              </w:tc>
              <w:tc>
                <w:tcPr>
                  <w:tcW w:w="78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00</w:t>
                  </w:r>
                </w:p>
              </w:tc>
              <w:tc>
                <w:tcPr>
                  <w:tcW w:w="87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17500</w:t>
                  </w:r>
                </w:p>
              </w:tc>
              <w:tc>
                <w:tcPr>
                  <w:tcW w:w="850"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175000</w:t>
                  </w: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2" w:firstLineChars="200"/>
              <w:textAlignment w:val="auto"/>
              <w:rPr>
                <w:rFonts w:hint="default" w:ascii="Times New Roman" w:hAnsi="Times New Roman" w:eastAsia="宋体" w:cs="Times New Roman"/>
                <w:b/>
                <w:color w:val="auto"/>
                <w:sz w:val="24"/>
                <w:highlight w:val="none"/>
                <w:lang w:val="en-US" w:eastAsia="zh-CN"/>
              </w:rPr>
            </w:pPr>
            <w:r>
              <w:rPr>
                <w:rFonts w:hint="eastAsia" w:cs="Times New Roman"/>
                <w:b/>
                <w:color w:val="auto"/>
                <w:sz w:val="24"/>
                <w:highlight w:val="none"/>
                <w:lang w:val="en-US" w:eastAsia="zh-CN"/>
              </w:rPr>
              <w:t>产品指标要求如下：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①外观质量：无影响使用的缺陷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②长度偏差：0～-6mm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③宽度偏差：0～-6mm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④厚度偏差：±0.5mm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⑤对角线长度偏差：≤5mm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⑥楔形棱边宽度：30～80mm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⑦楔形棱边深度：0.6～1.9mm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⑧纵向断裂载荷：≥360N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⑨横向断裂载荷：≥140N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⑩单位面积质量：≤9.5kg/</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p>
          <w:p>
            <w:pPr>
              <w:adjustRightInd w:val="0"/>
              <w:snapToGrid w:val="0"/>
              <w:spacing w:before="120" w:beforeLines="50"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4、主要建设内容</w:t>
            </w:r>
          </w:p>
          <w:p>
            <w:pPr>
              <w:snapToGrid w:val="0"/>
              <w:spacing w:line="360" w:lineRule="auto"/>
              <w:ind w:firstLine="480" w:firstLineChars="200"/>
              <w:rPr>
                <w:rFonts w:hint="default" w:ascii="Times New Roman" w:hAnsi="Times New Roman" w:cs="Times New Roman"/>
                <w:b/>
                <w:color w:val="auto"/>
                <w:highlight w:val="none"/>
              </w:rPr>
            </w:pPr>
            <w:r>
              <w:rPr>
                <w:rFonts w:hint="default" w:ascii="Times New Roman" w:hAnsi="Times New Roman" w:cs="Times New Roman"/>
                <w:color w:val="auto"/>
                <w:sz w:val="24"/>
                <w:highlight w:val="none"/>
              </w:rPr>
              <w:t>本项目</w:t>
            </w:r>
            <w:r>
              <w:rPr>
                <w:rFonts w:hint="eastAsia" w:cs="Times New Roman"/>
                <w:color w:val="auto"/>
                <w:sz w:val="24"/>
                <w:highlight w:val="none"/>
                <w:lang w:val="en-US" w:eastAsia="zh-CN"/>
              </w:rPr>
              <w:t>租赁原恒山二选厂旧址进行建设，原有构筑物已全部拆除，不涉及利旧设施及构筑物，全部为新建。</w:t>
            </w:r>
            <w:r>
              <w:rPr>
                <w:rFonts w:hint="default" w:ascii="Times New Roman" w:hAnsi="Times New Roman" w:cs="Times New Roman"/>
                <w:color w:val="auto"/>
                <w:sz w:val="24"/>
                <w:highlight w:val="none"/>
              </w:rPr>
              <w:t>主要建设内容</w:t>
            </w:r>
            <w:r>
              <w:rPr>
                <w:rFonts w:hint="eastAsia" w:cs="Times New Roman"/>
                <w:color w:val="auto"/>
                <w:sz w:val="24"/>
                <w:highlight w:val="none"/>
                <w:lang w:eastAsia="zh-CN"/>
              </w:rPr>
              <w:t>为</w:t>
            </w:r>
            <w:r>
              <w:rPr>
                <w:rFonts w:hint="eastAsia" w:cs="Times New Roman"/>
                <w:color w:val="auto"/>
                <w:sz w:val="24"/>
                <w:highlight w:val="none"/>
                <w:lang w:val="en-US" w:eastAsia="zh-CN"/>
              </w:rPr>
              <w:t>1条年产3500万m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石膏线条生产线，包括生产厂房、办公用房以及配套生产设施等，</w:t>
            </w:r>
            <w:r>
              <w:rPr>
                <w:rFonts w:hint="default" w:ascii="Times New Roman" w:hAnsi="Times New Roman" w:cs="Times New Roman"/>
                <w:color w:val="auto"/>
                <w:sz w:val="24"/>
                <w:highlight w:val="none"/>
              </w:rPr>
              <w:t>主要建设内容见表</w:t>
            </w:r>
            <w:r>
              <w:rPr>
                <w:rFonts w:hint="eastAsia" w:cs="Times New Roman"/>
                <w:color w:val="auto"/>
                <w:sz w:val="24"/>
                <w:highlight w:val="none"/>
                <w:lang w:val="en-US" w:eastAsia="zh-CN"/>
              </w:rPr>
              <w:t>2-2</w:t>
            </w:r>
            <w:r>
              <w:rPr>
                <w:rFonts w:hint="default" w:ascii="Times New Roman" w:hAnsi="Times New Roman" w:cs="Times New Roman"/>
                <w:color w:val="auto"/>
                <w:sz w:val="24"/>
                <w:highlight w:val="none"/>
              </w:rPr>
              <w:t>。</w:t>
            </w:r>
          </w:p>
          <w:p>
            <w:pPr>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eastAsia" w:cs="Times New Roman"/>
                <w:b/>
                <w:color w:val="auto"/>
                <w:highlight w:val="none"/>
                <w:lang w:val="en-US" w:eastAsia="zh-CN"/>
              </w:rPr>
              <w:t>2-2</w:t>
            </w:r>
            <w:r>
              <w:rPr>
                <w:rFonts w:hint="default" w:ascii="Times New Roman" w:hAnsi="Times New Roman" w:cs="Times New Roman"/>
                <w:b/>
                <w:color w:val="auto"/>
                <w:highlight w:val="none"/>
              </w:rPr>
              <w:t xml:space="preserve">  本项目工程内容一览表</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48"/>
              <w:gridCol w:w="494"/>
              <w:gridCol w:w="1482"/>
              <w:gridCol w:w="578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160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工程类别</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w:t>
                  </w:r>
                </w:p>
              </w:tc>
              <w:tc>
                <w:tcPr>
                  <w:tcW w:w="11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生产车间</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位于场地</w:t>
                  </w:r>
                  <w:r>
                    <w:rPr>
                      <w:rFonts w:hint="eastAsia" w:cs="Times New Roman"/>
                      <w:color w:val="auto"/>
                      <w:sz w:val="21"/>
                      <w:szCs w:val="21"/>
                      <w:highlight w:val="none"/>
                      <w:lang w:eastAsia="zh-CN"/>
                    </w:rPr>
                    <w:t>北</w:t>
                  </w:r>
                  <w:r>
                    <w:rPr>
                      <w:rFonts w:hint="default" w:ascii="Times New Roman" w:hAnsi="Times New Roman" w:cs="Times New Roman"/>
                      <w:color w:val="auto"/>
                      <w:sz w:val="21"/>
                      <w:szCs w:val="21"/>
                      <w:highlight w:val="none"/>
                    </w:rPr>
                    <w:t>侧，单层全封闭轻钢结构，</w:t>
                  </w:r>
                  <w:r>
                    <w:rPr>
                      <w:rFonts w:hint="eastAsia" w:ascii="Times New Roman" w:hAnsi="Times New Roman" w:cs="Times New Roman"/>
                      <w:bCs/>
                      <w:color w:val="auto"/>
                      <w:sz w:val="21"/>
                      <w:szCs w:val="21"/>
                      <w:highlight w:val="none"/>
                      <w:lang w:val="en-US" w:eastAsia="zh-CN"/>
                    </w:rPr>
                    <w:t>建筑</w:t>
                  </w:r>
                  <w:r>
                    <w:rPr>
                      <w:rFonts w:hint="default" w:ascii="Times New Roman" w:hAnsi="Times New Roman" w:cs="Times New Roman"/>
                      <w:bCs/>
                      <w:color w:val="auto"/>
                      <w:sz w:val="21"/>
                      <w:szCs w:val="21"/>
                      <w:highlight w:val="none"/>
                      <w:lang w:val="en-US" w:eastAsia="zh-CN"/>
                    </w:rPr>
                    <w:t>面积1000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color w:val="auto"/>
                      <w:highlight w:val="none"/>
                    </w:rPr>
                    <w:t>建筑尺寸</w:t>
                  </w:r>
                  <w:r>
                    <w:rPr>
                      <w:rFonts w:hint="eastAsia"/>
                      <w:color w:val="auto"/>
                      <w:highlight w:val="none"/>
                      <w:lang w:val="en-US" w:eastAsia="zh-CN"/>
                    </w:rPr>
                    <w:t>50</w:t>
                  </w:r>
                  <w:r>
                    <w:rPr>
                      <w:rFonts w:hint="default"/>
                      <w:color w:val="auto"/>
                      <w:highlight w:val="none"/>
                    </w:rPr>
                    <w:t>×</w:t>
                  </w:r>
                  <w:r>
                    <w:rPr>
                      <w:rFonts w:hint="eastAsia"/>
                      <w:color w:val="auto"/>
                      <w:highlight w:val="none"/>
                      <w:lang w:val="en-US" w:eastAsia="zh-CN"/>
                    </w:rPr>
                    <w:t>2</w:t>
                  </w:r>
                  <w:r>
                    <w:rPr>
                      <w:rFonts w:hint="default"/>
                      <w:color w:val="auto"/>
                      <w:highlight w:val="none"/>
                    </w:rPr>
                    <w:t>0×</w:t>
                  </w:r>
                  <w:r>
                    <w:rPr>
                      <w:rFonts w:hint="eastAsia"/>
                      <w:color w:val="auto"/>
                      <w:highlight w:val="none"/>
                      <w:lang w:val="en-US" w:eastAsia="zh-CN"/>
                    </w:rPr>
                    <w:t>8</w:t>
                  </w:r>
                  <w:r>
                    <w:rPr>
                      <w:rFonts w:hint="default"/>
                      <w:color w:val="auto"/>
                      <w:highlight w:val="none"/>
                    </w:rPr>
                    <w:t>m</w:t>
                  </w:r>
                  <w:r>
                    <w:rPr>
                      <w:rFonts w:hint="eastAsia"/>
                      <w:color w:val="auto"/>
                      <w:highlight w:val="none"/>
                      <w:lang w:eastAsia="zh-CN"/>
                    </w:rPr>
                    <w:t>，</w:t>
                  </w:r>
                  <w:r>
                    <w:rPr>
                      <w:rFonts w:hint="default" w:ascii="Times New Roman" w:hAnsi="Times New Roman" w:cs="Times New Roman"/>
                      <w:color w:val="auto"/>
                      <w:sz w:val="21"/>
                      <w:szCs w:val="21"/>
                      <w:highlight w:val="none"/>
                    </w:rPr>
                    <w:t>场内地面</w:t>
                  </w:r>
                  <w:r>
                    <w:rPr>
                      <w:rFonts w:hint="eastAsia" w:ascii="Times New Roman" w:hAnsi="Times New Roman" w:cs="Times New Roman"/>
                      <w:color w:val="auto"/>
                      <w:sz w:val="21"/>
                      <w:szCs w:val="21"/>
                      <w:highlight w:val="none"/>
                      <w:lang w:val="en-US" w:eastAsia="zh-CN"/>
                    </w:rPr>
                    <w:t>全部</w:t>
                  </w:r>
                  <w:r>
                    <w:rPr>
                      <w:rFonts w:hint="default" w:ascii="Times New Roman" w:hAnsi="Times New Roman" w:cs="Times New Roman"/>
                      <w:color w:val="auto"/>
                      <w:sz w:val="21"/>
                      <w:szCs w:val="21"/>
                      <w:highlight w:val="none"/>
                    </w:rPr>
                    <w:t>硬化</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主要设备包括</w:t>
                  </w:r>
                  <w:r>
                    <w:rPr>
                      <w:rFonts w:hint="eastAsia" w:ascii="Times New Roman" w:hAnsi="Times New Roman" w:cs="Times New Roman"/>
                      <w:color w:val="auto"/>
                      <w:sz w:val="21"/>
                      <w:szCs w:val="21"/>
                      <w:highlight w:val="none"/>
                      <w:lang w:val="en-US" w:eastAsia="zh-CN"/>
                    </w:rPr>
                    <w:t>搅拌机</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打浆机、烘干机、合模机、制条机、切割机、输送机</w:t>
                  </w:r>
                  <w:r>
                    <w:rPr>
                      <w:rFonts w:hint="default" w:ascii="Times New Roman" w:hAnsi="Times New Roman" w:cs="Times New Roman"/>
                      <w:color w:val="auto"/>
                      <w:sz w:val="21"/>
                      <w:szCs w:val="21"/>
                      <w:highlight w:val="none"/>
                      <w:lang w:val="en-US" w:eastAsia="zh-CN"/>
                    </w:rPr>
                    <w:t>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储运工程</w:t>
                  </w:r>
                </w:p>
              </w:tc>
              <w:tc>
                <w:tcPr>
                  <w:tcW w:w="11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原料</w:t>
                  </w:r>
                  <w:r>
                    <w:rPr>
                      <w:rFonts w:hint="eastAsia" w:cs="Times New Roman"/>
                      <w:color w:val="auto"/>
                      <w:sz w:val="21"/>
                      <w:szCs w:val="21"/>
                      <w:highlight w:val="none"/>
                      <w:lang w:val="en-US" w:eastAsia="zh-CN"/>
                    </w:rPr>
                    <w:t>堆场</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highlight w:val="none"/>
                      <w:lang w:eastAsia="zh-CN"/>
                    </w:rPr>
                  </w:pPr>
                  <w:r>
                    <w:rPr>
                      <w:rFonts w:hint="default"/>
                      <w:color w:val="auto"/>
                      <w:highlight w:val="none"/>
                    </w:rPr>
                    <w:t>位于场地</w:t>
                  </w:r>
                  <w:r>
                    <w:rPr>
                      <w:rFonts w:hint="default"/>
                      <w:color w:val="auto"/>
                      <w:highlight w:val="none"/>
                      <w:lang w:eastAsia="zh-CN"/>
                    </w:rPr>
                    <w:t>西</w:t>
                  </w:r>
                  <w:r>
                    <w:rPr>
                      <w:rFonts w:hint="default"/>
                      <w:color w:val="auto"/>
                      <w:highlight w:val="none"/>
                    </w:rPr>
                    <w:t>侧，全封闭单层轻钢结构，建筑面积</w:t>
                  </w:r>
                  <w:r>
                    <w:rPr>
                      <w:rFonts w:hint="eastAsia"/>
                      <w:color w:val="auto"/>
                      <w:highlight w:val="none"/>
                      <w:lang w:val="en-US" w:eastAsia="zh-CN"/>
                    </w:rPr>
                    <w:t>5</w:t>
                  </w:r>
                  <w:r>
                    <w:rPr>
                      <w:rFonts w:hint="default"/>
                      <w:color w:val="auto"/>
                      <w:highlight w:val="none"/>
                    </w:rPr>
                    <w:t>00m</w:t>
                  </w:r>
                  <w:r>
                    <w:rPr>
                      <w:rFonts w:hint="default"/>
                      <w:color w:val="auto"/>
                      <w:highlight w:val="none"/>
                      <w:vertAlign w:val="superscript"/>
                    </w:rPr>
                    <w:t>2</w:t>
                  </w:r>
                  <w:r>
                    <w:rPr>
                      <w:rFonts w:hint="default"/>
                      <w:color w:val="auto"/>
                      <w:highlight w:val="none"/>
                    </w:rPr>
                    <w:t>，建筑尺寸</w:t>
                  </w:r>
                  <w:r>
                    <w:rPr>
                      <w:rFonts w:hint="eastAsia"/>
                      <w:color w:val="auto"/>
                      <w:highlight w:val="none"/>
                      <w:lang w:val="en-US" w:eastAsia="zh-CN"/>
                    </w:rPr>
                    <w:t>25</w:t>
                  </w:r>
                  <w:r>
                    <w:rPr>
                      <w:rFonts w:hint="default"/>
                      <w:color w:val="auto"/>
                      <w:highlight w:val="none"/>
                    </w:rPr>
                    <w:t>×</w:t>
                  </w:r>
                  <w:r>
                    <w:rPr>
                      <w:rFonts w:hint="eastAsia"/>
                      <w:color w:val="auto"/>
                      <w:highlight w:val="none"/>
                      <w:lang w:val="en-US" w:eastAsia="zh-CN"/>
                    </w:rPr>
                    <w:t>2</w:t>
                  </w:r>
                  <w:r>
                    <w:rPr>
                      <w:rFonts w:hint="default"/>
                      <w:color w:val="auto"/>
                      <w:highlight w:val="none"/>
                    </w:rPr>
                    <w:t>0×6m</w:t>
                  </w:r>
                  <w:r>
                    <w:rPr>
                      <w:rFonts w:hint="eastAsia"/>
                      <w:color w:val="auto"/>
                      <w:highlight w:val="none"/>
                      <w:lang w:eastAsia="zh-CN"/>
                    </w:rPr>
                    <w:t>，</w:t>
                  </w:r>
                  <w:r>
                    <w:rPr>
                      <w:rFonts w:hint="eastAsia"/>
                      <w:color w:val="auto"/>
                      <w:highlight w:val="none"/>
                      <w:lang w:val="en-US" w:eastAsia="zh-CN"/>
                    </w:rPr>
                    <w:t>厂房内地面全部硬化，主要用于储存石膏粉，采用50kg袋装，储存量5000t</w:t>
                  </w:r>
                  <w:r>
                    <w:rPr>
                      <w:rFonts w:hint="default"/>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11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成品</w:t>
                  </w:r>
                  <w:r>
                    <w:rPr>
                      <w:rFonts w:hint="eastAsia" w:cs="Times New Roman"/>
                      <w:color w:val="auto"/>
                      <w:sz w:val="21"/>
                      <w:szCs w:val="21"/>
                      <w:highlight w:val="none"/>
                      <w:lang w:val="en-US" w:eastAsia="zh-CN"/>
                    </w:rPr>
                    <w:t>堆场</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highlight w:val="none"/>
                    </w:rPr>
                  </w:pPr>
                  <w:r>
                    <w:rPr>
                      <w:rFonts w:hint="default"/>
                      <w:color w:val="auto"/>
                      <w:highlight w:val="none"/>
                    </w:rPr>
                    <w:t>位于场地</w:t>
                  </w:r>
                  <w:r>
                    <w:rPr>
                      <w:rFonts w:hint="default"/>
                      <w:color w:val="auto"/>
                      <w:highlight w:val="none"/>
                      <w:lang w:eastAsia="zh-CN"/>
                    </w:rPr>
                    <w:t>东</w:t>
                  </w:r>
                  <w:r>
                    <w:rPr>
                      <w:rFonts w:hint="default"/>
                      <w:color w:val="auto"/>
                      <w:highlight w:val="none"/>
                    </w:rPr>
                    <w:t>侧，全封闭单层轻钢结构，建筑面积</w:t>
                  </w:r>
                  <w:r>
                    <w:rPr>
                      <w:rFonts w:hint="eastAsia"/>
                      <w:color w:val="auto"/>
                      <w:highlight w:val="none"/>
                      <w:lang w:val="en-US" w:eastAsia="zh-CN"/>
                    </w:rPr>
                    <w:t>5</w:t>
                  </w:r>
                  <w:r>
                    <w:rPr>
                      <w:rFonts w:hint="default"/>
                      <w:color w:val="auto"/>
                      <w:highlight w:val="none"/>
                    </w:rPr>
                    <w:t>00m</w:t>
                  </w:r>
                  <w:r>
                    <w:rPr>
                      <w:rFonts w:hint="default"/>
                      <w:color w:val="auto"/>
                      <w:highlight w:val="none"/>
                      <w:vertAlign w:val="superscript"/>
                    </w:rPr>
                    <w:t>2</w:t>
                  </w:r>
                  <w:r>
                    <w:rPr>
                      <w:rFonts w:hint="default"/>
                      <w:color w:val="auto"/>
                      <w:highlight w:val="none"/>
                    </w:rPr>
                    <w:t>，建筑尺寸</w:t>
                  </w:r>
                  <w:r>
                    <w:rPr>
                      <w:rFonts w:hint="eastAsia"/>
                      <w:color w:val="auto"/>
                      <w:highlight w:val="none"/>
                      <w:lang w:val="en-US" w:eastAsia="zh-CN"/>
                    </w:rPr>
                    <w:t>25</w:t>
                  </w:r>
                  <w:r>
                    <w:rPr>
                      <w:rFonts w:hint="default"/>
                      <w:color w:val="auto"/>
                      <w:highlight w:val="none"/>
                    </w:rPr>
                    <w:t>×</w:t>
                  </w:r>
                  <w:r>
                    <w:rPr>
                      <w:rFonts w:hint="eastAsia"/>
                      <w:color w:val="auto"/>
                      <w:highlight w:val="none"/>
                      <w:lang w:val="en-US" w:eastAsia="zh-CN"/>
                    </w:rPr>
                    <w:t>20</w:t>
                  </w:r>
                  <w:r>
                    <w:rPr>
                      <w:rFonts w:hint="default"/>
                      <w:color w:val="auto"/>
                      <w:highlight w:val="none"/>
                    </w:rPr>
                    <w:t>×6m</w:t>
                  </w:r>
                  <w:r>
                    <w:rPr>
                      <w:rFonts w:hint="eastAsia"/>
                      <w:color w:val="auto"/>
                      <w:highlight w:val="none"/>
                      <w:lang w:eastAsia="zh-CN"/>
                    </w:rPr>
                    <w:t>，</w:t>
                  </w:r>
                  <w:r>
                    <w:rPr>
                      <w:rFonts w:hint="eastAsia"/>
                      <w:color w:val="auto"/>
                      <w:highlight w:val="none"/>
                      <w:lang w:val="en-US" w:eastAsia="zh-CN"/>
                    </w:rPr>
                    <w:t>主要用于储存石膏线条，储存量5000t</w:t>
                  </w:r>
                  <w:r>
                    <w:rPr>
                      <w:rFonts w:hint="default"/>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w:t>
                  </w:r>
                </w:p>
              </w:tc>
              <w:tc>
                <w:tcPr>
                  <w:tcW w:w="11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办公区</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位于厂区</w:t>
                  </w:r>
                  <w:r>
                    <w:rPr>
                      <w:rFonts w:hint="eastAsia" w:cs="Times New Roman"/>
                      <w:color w:val="auto"/>
                      <w:sz w:val="21"/>
                      <w:szCs w:val="21"/>
                      <w:highlight w:val="none"/>
                      <w:lang w:val="en-US" w:eastAsia="zh-CN"/>
                    </w:rPr>
                    <w:t>西</w:t>
                  </w:r>
                  <w:r>
                    <w:rPr>
                      <w:rFonts w:hint="eastAsia" w:cs="Times New Roman"/>
                      <w:color w:val="auto"/>
                      <w:sz w:val="21"/>
                      <w:szCs w:val="21"/>
                      <w:highlight w:val="none"/>
                      <w:lang w:eastAsia="zh-CN"/>
                    </w:rPr>
                    <w:t>南</w:t>
                  </w:r>
                  <w:r>
                    <w:rPr>
                      <w:rFonts w:hint="default" w:ascii="Times New Roman" w:hAnsi="Times New Roman" w:cs="Times New Roman"/>
                      <w:color w:val="auto"/>
                      <w:sz w:val="21"/>
                      <w:szCs w:val="21"/>
                      <w:highlight w:val="none"/>
                    </w:rPr>
                    <w:t>侧，单层</w:t>
                  </w:r>
                  <w:r>
                    <w:rPr>
                      <w:rFonts w:hint="eastAsia" w:cs="Times New Roman"/>
                      <w:color w:val="auto"/>
                      <w:sz w:val="21"/>
                      <w:szCs w:val="21"/>
                      <w:highlight w:val="none"/>
                      <w:lang w:val="en-US" w:eastAsia="zh-CN"/>
                    </w:rPr>
                    <w:t>砖混</w:t>
                  </w:r>
                  <w:r>
                    <w:rPr>
                      <w:rFonts w:hint="default" w:ascii="Times New Roman" w:hAnsi="Times New Roman" w:cs="Times New Roman"/>
                      <w:color w:val="auto"/>
                      <w:sz w:val="21"/>
                      <w:szCs w:val="21"/>
                      <w:highlight w:val="none"/>
                    </w:rPr>
                    <w:t>结构，建筑面积</w:t>
                  </w: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0m</w:t>
                  </w:r>
                  <w:r>
                    <w:rPr>
                      <w:rFonts w:hint="default" w:ascii="Times New Roman" w:hAnsi="Times New Roman" w:cs="Times New Roman"/>
                      <w:color w:val="auto"/>
                      <w:sz w:val="21"/>
                      <w:szCs w:val="21"/>
                      <w:highlight w:val="none"/>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11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生活</w:t>
                  </w:r>
                  <w:r>
                    <w:rPr>
                      <w:rFonts w:hint="eastAsia" w:ascii="Times New Roman" w:hAnsi="Times New Roman" w:cs="Times New Roman"/>
                      <w:color w:val="auto"/>
                      <w:sz w:val="21"/>
                      <w:szCs w:val="21"/>
                      <w:highlight w:val="none"/>
                      <w:lang w:val="en-US" w:eastAsia="zh-CN"/>
                    </w:rPr>
                    <w:t>区</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位于厂区</w:t>
                  </w:r>
                  <w:r>
                    <w:rPr>
                      <w:rFonts w:hint="eastAsia" w:cs="Times New Roman"/>
                      <w:color w:val="auto"/>
                      <w:sz w:val="21"/>
                      <w:szCs w:val="21"/>
                      <w:highlight w:val="none"/>
                      <w:lang w:val="en-US" w:eastAsia="zh-CN"/>
                    </w:rPr>
                    <w:t>东</w:t>
                  </w:r>
                  <w:r>
                    <w:rPr>
                      <w:rFonts w:hint="eastAsia" w:cs="Times New Roman"/>
                      <w:color w:val="auto"/>
                      <w:sz w:val="21"/>
                      <w:szCs w:val="21"/>
                      <w:highlight w:val="none"/>
                      <w:lang w:eastAsia="zh-CN"/>
                    </w:rPr>
                    <w:t>南</w:t>
                  </w:r>
                  <w:r>
                    <w:rPr>
                      <w:rFonts w:hint="default" w:ascii="Times New Roman" w:hAnsi="Times New Roman" w:cs="Times New Roman"/>
                      <w:color w:val="auto"/>
                      <w:sz w:val="21"/>
                      <w:szCs w:val="21"/>
                      <w:highlight w:val="none"/>
                    </w:rPr>
                    <w:t>侧，单层</w:t>
                  </w:r>
                  <w:r>
                    <w:rPr>
                      <w:rFonts w:hint="eastAsia" w:cs="Times New Roman"/>
                      <w:color w:val="auto"/>
                      <w:sz w:val="21"/>
                      <w:szCs w:val="21"/>
                      <w:highlight w:val="none"/>
                      <w:lang w:val="en-US" w:eastAsia="zh-CN"/>
                    </w:rPr>
                    <w:t>砖混</w:t>
                  </w:r>
                  <w:r>
                    <w:rPr>
                      <w:rFonts w:hint="default" w:ascii="Times New Roman" w:hAnsi="Times New Roman" w:cs="Times New Roman"/>
                      <w:color w:val="auto"/>
                      <w:sz w:val="21"/>
                      <w:szCs w:val="21"/>
                      <w:highlight w:val="none"/>
                    </w:rPr>
                    <w:t>结构，建筑面积</w:t>
                  </w: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0m</w:t>
                  </w:r>
                  <w:r>
                    <w:rPr>
                      <w:rFonts w:hint="default" w:ascii="Times New Roman" w:hAnsi="Times New Roman" w:cs="Times New Roman"/>
                      <w:color w:val="auto"/>
                      <w:sz w:val="21"/>
                      <w:szCs w:val="21"/>
                      <w:highlight w:val="none"/>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11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库房</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位于</w:t>
                  </w:r>
                  <w:r>
                    <w:rPr>
                      <w:rFonts w:hint="default" w:ascii="Times New Roman" w:hAnsi="Times New Roman" w:cs="Times New Roman"/>
                      <w:color w:val="auto"/>
                      <w:sz w:val="21"/>
                      <w:szCs w:val="21"/>
                      <w:highlight w:val="none"/>
                      <w:lang w:eastAsia="zh-CN"/>
                    </w:rPr>
                    <w:t>办公区</w:t>
                  </w:r>
                  <w:r>
                    <w:rPr>
                      <w:rFonts w:hint="eastAsia" w:cs="Times New Roman"/>
                      <w:color w:val="auto"/>
                      <w:sz w:val="21"/>
                      <w:szCs w:val="21"/>
                      <w:highlight w:val="none"/>
                      <w:lang w:val="en-US" w:eastAsia="zh-CN"/>
                    </w:rPr>
                    <w:t>东</w:t>
                  </w:r>
                  <w:r>
                    <w:rPr>
                      <w:rFonts w:hint="default" w:ascii="Times New Roman" w:hAnsi="Times New Roman" w:cs="Times New Roman"/>
                      <w:color w:val="auto"/>
                      <w:sz w:val="21"/>
                      <w:szCs w:val="21"/>
                      <w:highlight w:val="none"/>
                    </w:rPr>
                    <w:t>侧，用于存放工具，建筑面积</w:t>
                  </w:r>
                  <w:r>
                    <w:rPr>
                      <w:rFonts w:hint="eastAsia" w:cs="Times New Roman"/>
                      <w:color w:val="auto"/>
                      <w:sz w:val="21"/>
                      <w:szCs w:val="21"/>
                      <w:highlight w:val="none"/>
                      <w:lang w:val="en-US" w:eastAsia="zh-CN"/>
                    </w:rPr>
                    <w:t>50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11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地磅</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位于厂区出入口</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11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洗车平台</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eastAsia="zh-CN"/>
                    </w:rPr>
                    <w:t>设备尺寸</w:t>
                  </w:r>
                  <w:r>
                    <w:rPr>
                      <w:rFonts w:hint="eastAsia" w:cs="Times New Roman"/>
                      <w:color w:val="auto"/>
                      <w:sz w:val="21"/>
                      <w:szCs w:val="21"/>
                      <w:highlight w:val="none"/>
                      <w:lang w:val="en-US" w:eastAsia="zh-CN"/>
                    </w:rPr>
                    <w:t>4m×2.5m，配套24个喷头和一个10m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沉淀池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w:t>
                  </w:r>
                </w:p>
              </w:tc>
              <w:tc>
                <w:tcPr>
                  <w:tcW w:w="11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供水</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生产用水利用附近地表水体，严禁采用地下水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11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由大营镇供电电网接入1台250KVA变压器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11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供热</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生产区不采暖，生活区采用电采暖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环保工程</w:t>
                  </w:r>
                </w:p>
              </w:tc>
              <w:tc>
                <w:tcPr>
                  <w:tcW w:w="290"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87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运输扬尘</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采用全封闭运输车辆，运输道路定期清扫、洒水抑尘。</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厂区出入口设置洗车平台等。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87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上料</w:t>
                  </w:r>
                  <w:r>
                    <w:rPr>
                      <w:rFonts w:hint="eastAsia" w:ascii="Times New Roman" w:hAnsi="Times New Roman" w:cs="Times New Roman"/>
                      <w:color w:val="auto"/>
                      <w:sz w:val="21"/>
                      <w:szCs w:val="21"/>
                      <w:highlight w:val="none"/>
                      <w:lang w:val="en-US" w:eastAsia="zh-CN"/>
                    </w:rPr>
                    <w:t>搅拌</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粉尘</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上料口</w:t>
                  </w:r>
                  <w:r>
                    <w:rPr>
                      <w:rFonts w:hint="eastAsia" w:ascii="Times New Roman" w:hAnsi="Times New Roman" w:cs="Times New Roman"/>
                      <w:color w:val="auto"/>
                      <w:sz w:val="21"/>
                      <w:szCs w:val="21"/>
                      <w:highlight w:val="none"/>
                      <w:lang w:eastAsia="zh-CN"/>
                    </w:rPr>
                    <w:t>四周全密闭，</w:t>
                  </w:r>
                  <w:r>
                    <w:rPr>
                      <w:rFonts w:hint="default" w:ascii="Times New Roman" w:hAnsi="Times New Roman" w:cs="Times New Roman"/>
                      <w:color w:val="auto"/>
                      <w:sz w:val="21"/>
                      <w:szCs w:val="21"/>
                      <w:highlight w:val="none"/>
                    </w:rPr>
                    <w:t>上方设置1个集气罩，</w:t>
                  </w:r>
                  <w:r>
                    <w:rPr>
                      <w:rFonts w:hint="eastAsia" w:cs="Times New Roman"/>
                      <w:color w:val="auto"/>
                      <w:sz w:val="21"/>
                      <w:szCs w:val="21"/>
                      <w:highlight w:val="none"/>
                      <w:lang w:val="en-US" w:eastAsia="zh-CN"/>
                    </w:rPr>
                    <w:t>搅拌机上方设1个集气罩，经</w:t>
                  </w:r>
                  <w:r>
                    <w:rPr>
                      <w:rFonts w:hint="default" w:ascii="Times New Roman" w:hAnsi="Times New Roman" w:cs="Times New Roman"/>
                      <w:color w:val="auto"/>
                      <w:sz w:val="21"/>
                      <w:szCs w:val="21"/>
                      <w:highlight w:val="none"/>
                    </w:rPr>
                    <w:t>收集后经</w:t>
                  </w:r>
                  <w:r>
                    <w:rPr>
                      <w:rFonts w:hint="eastAsia" w:ascii="Times New Roman" w:hAnsi="Times New Roman" w:cs="Times New Roman"/>
                      <w:color w:val="auto"/>
                      <w:sz w:val="21"/>
                      <w:szCs w:val="21"/>
                      <w:highlight w:val="none"/>
                      <w:lang w:eastAsia="zh-CN"/>
                    </w:rPr>
                    <w:t>连接至集中式</w:t>
                  </w:r>
                  <w:r>
                    <w:rPr>
                      <w:rFonts w:hint="default" w:ascii="Times New Roman" w:hAnsi="Times New Roman" w:cs="Times New Roman"/>
                      <w:color w:val="auto"/>
                      <w:sz w:val="21"/>
                      <w:szCs w:val="21"/>
                      <w:highlight w:val="none"/>
                    </w:rPr>
                    <w:t>布袋除尘器处理后由15m排气筒排放；</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输送</w:t>
                  </w:r>
                  <w:r>
                    <w:rPr>
                      <w:rFonts w:hint="default" w:ascii="Times New Roman" w:hAnsi="Times New Roman" w:cs="Times New Roman"/>
                      <w:color w:val="auto"/>
                      <w:sz w:val="21"/>
                      <w:szCs w:val="21"/>
                      <w:highlight w:val="none"/>
                    </w:rPr>
                    <w:t>采用</w:t>
                  </w:r>
                  <w:r>
                    <w:rPr>
                      <w:rFonts w:hint="eastAsia" w:ascii="Times New Roman" w:hAnsi="Times New Roman" w:cs="Times New Roman"/>
                      <w:color w:val="auto"/>
                      <w:sz w:val="21"/>
                      <w:szCs w:val="21"/>
                      <w:highlight w:val="none"/>
                      <w:lang w:val="en-US" w:eastAsia="zh-CN"/>
                    </w:rPr>
                    <w:t>气力输送</w:t>
                  </w:r>
                  <w:r>
                    <w:rPr>
                      <w:rFonts w:hint="default" w:ascii="Times New Roman" w:hAnsi="Times New Roman" w:cs="Times New Roman"/>
                      <w:color w:val="auto"/>
                      <w:sz w:val="21"/>
                      <w:szCs w:val="21"/>
                      <w:highlight w:val="none"/>
                      <w:lang w:eastAsia="zh-CN"/>
                    </w:rPr>
                    <w:t>，受料口、落料口</w:t>
                  </w:r>
                  <w:r>
                    <w:rPr>
                      <w:rFonts w:hint="eastAsia" w:cs="Times New Roman"/>
                      <w:color w:val="auto"/>
                      <w:sz w:val="21"/>
                      <w:szCs w:val="21"/>
                      <w:highlight w:val="none"/>
                      <w:lang w:eastAsia="zh-CN"/>
                    </w:rPr>
                    <w:t>及除尘器出灰口均</w:t>
                  </w:r>
                  <w:r>
                    <w:rPr>
                      <w:rFonts w:hint="default" w:ascii="Times New Roman" w:hAnsi="Times New Roman" w:cs="Times New Roman"/>
                      <w:color w:val="auto"/>
                      <w:sz w:val="21"/>
                      <w:szCs w:val="21"/>
                      <w:highlight w:val="none"/>
                      <w:lang w:eastAsia="zh-CN"/>
                    </w:rPr>
                    <w:t>采取封闭措施</w:t>
                  </w:r>
                  <w:r>
                    <w:rPr>
                      <w:rFonts w:hint="default" w:ascii="Times New Roman" w:hAnsi="Times New Roman" w:cs="Times New Roman"/>
                      <w:color w:val="auto"/>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290"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87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设备及模具</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清洗</w:t>
                  </w:r>
                  <w:r>
                    <w:rPr>
                      <w:rFonts w:hint="default" w:ascii="Times New Roman" w:hAnsi="Times New Roman" w:cs="Times New Roman"/>
                      <w:color w:val="auto"/>
                      <w:sz w:val="21"/>
                      <w:szCs w:val="21"/>
                      <w:highlight w:val="none"/>
                    </w:rPr>
                    <w:t>废水</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设置1个</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的废水收集池，经沉淀后循环使用不外排。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87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洗车废水</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配套</w:t>
                  </w:r>
                  <w:r>
                    <w:rPr>
                      <w:rFonts w:hint="default" w:ascii="Times New Roman" w:hAnsi="Times New Roman" w:cs="Times New Roman"/>
                      <w:color w:val="auto"/>
                      <w:sz w:val="21"/>
                      <w:szCs w:val="21"/>
                      <w:highlight w:val="none"/>
                    </w:rPr>
                    <w:t>设置1座</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的沉淀池，循环使用</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不外排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87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主要为盥洗水，</w:t>
                  </w:r>
                  <w:r>
                    <w:rPr>
                      <w:rFonts w:hint="default" w:ascii="Times New Roman" w:hAnsi="Times New Roman" w:cs="Times New Roman"/>
                      <w:color w:val="auto"/>
                      <w:sz w:val="21"/>
                      <w:szCs w:val="21"/>
                      <w:highlight w:val="none"/>
                    </w:rPr>
                    <w:t>用于厂区洒水，不外排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87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初期雨水</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设1座50m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初期雨水收集池，经收集后用于厂区洒水。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290"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87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废包装材料</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经收集后作为废品外售处置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87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不合格品</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经收集后送建材厂综合利用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87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除尘灰</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经收集后</w:t>
                  </w:r>
                  <w:r>
                    <w:rPr>
                      <w:rFonts w:hint="eastAsia" w:cs="Times New Roman"/>
                      <w:color w:val="auto"/>
                      <w:sz w:val="21"/>
                      <w:szCs w:val="21"/>
                      <w:highlight w:val="none"/>
                      <w:lang w:val="en-US" w:eastAsia="zh-CN"/>
                    </w:rPr>
                    <w:t>返回于生产工序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87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废机油、废机油桶</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废棉纱</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设置</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危险废物暂存间，定期交有资质单位处置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87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设置垃圾箱，定期送环卫部门指定地点处置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290"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87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生产设备</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选用低噪声设备、设备基础减震、建筑隔声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87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运输噪声</w:t>
                  </w:r>
                </w:p>
              </w:tc>
              <w:tc>
                <w:tcPr>
                  <w:tcW w:w="3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禁止鸣笛、限制车速，禁止夜间行驶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11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w:t>
                  </w:r>
                </w:p>
              </w:tc>
              <w:tc>
                <w:tcPr>
                  <w:tcW w:w="3399" w:type="pct"/>
                  <w:noWrap w:val="0"/>
                  <w:vAlign w:val="center"/>
                </w:tcPr>
                <w:p>
                  <w:pPr>
                    <w:keepNext w:val="0"/>
                    <w:keepLines w:val="0"/>
                    <w:pageBreakBefore w:val="0"/>
                    <w:widowControl w:val="0"/>
                    <w:tabs>
                      <w:tab w:val="left" w:pos="1728"/>
                      <w:tab w:val="center" w:pos="2735"/>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厂区地面采用混凝土硬化，同时设置</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00m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绿化面积</w:t>
                  </w:r>
                </w:p>
              </w:tc>
            </w:tr>
          </w:tbl>
          <w:p>
            <w:pPr>
              <w:adjustRightInd w:val="0"/>
              <w:snapToGrid w:val="0"/>
              <w:spacing w:before="120" w:beforeLines="50"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5、原辅材料及能源消耗</w:t>
            </w:r>
          </w:p>
          <w:p>
            <w:pPr>
              <w:pStyle w:val="22"/>
              <w:adjustRightInd w:val="0"/>
              <w:snapToGrid w:val="0"/>
              <w:spacing w:after="0" w:line="360" w:lineRule="auto"/>
              <w:ind w:left="0" w:leftChars="0" w:firstLine="480"/>
              <w:rPr>
                <w:rFonts w:hint="default" w:ascii="Times New Roman" w:hAnsi="Times New Roman" w:cs="Times New Roman"/>
                <w:color w:val="auto"/>
                <w:sz w:val="24"/>
                <w:szCs w:val="22"/>
                <w:highlight w:val="none"/>
                <w:lang w:val="en-US" w:eastAsia="zh-CN"/>
              </w:rPr>
            </w:pPr>
            <w:r>
              <w:rPr>
                <w:rFonts w:hint="default" w:ascii="Times New Roman" w:hAnsi="Times New Roman" w:cs="Times New Roman"/>
                <w:color w:val="auto"/>
                <w:sz w:val="24"/>
                <w:szCs w:val="22"/>
                <w:highlight w:val="none"/>
                <w:lang w:val="en-US" w:eastAsia="zh-CN"/>
              </w:rPr>
              <w:t>（1）原辅料消耗</w:t>
            </w:r>
          </w:p>
          <w:p>
            <w:pPr>
              <w:pStyle w:val="22"/>
              <w:adjustRightInd w:val="0"/>
              <w:snapToGrid w:val="0"/>
              <w:spacing w:after="0" w:line="360" w:lineRule="auto"/>
              <w:ind w:left="0" w:leftChars="0" w:firstLine="480"/>
              <w:rPr>
                <w:rFonts w:hint="default" w:ascii="Times New Roman" w:hAnsi="Times New Roman" w:cs="Times New Roman"/>
                <w:color w:val="auto"/>
                <w:sz w:val="24"/>
                <w:szCs w:val="22"/>
                <w:highlight w:val="none"/>
                <w:lang w:val="en-US" w:eastAsia="zh-CN"/>
              </w:rPr>
            </w:pPr>
            <w:r>
              <w:rPr>
                <w:rFonts w:hint="default" w:ascii="Times New Roman" w:hAnsi="Times New Roman" w:cs="Times New Roman"/>
                <w:color w:val="auto"/>
                <w:sz w:val="24"/>
                <w:szCs w:val="22"/>
                <w:highlight w:val="none"/>
                <w:lang w:val="en-US" w:eastAsia="zh-CN"/>
              </w:rPr>
              <w:t>项目原辅材料消耗情况见表</w:t>
            </w:r>
            <w:r>
              <w:rPr>
                <w:rFonts w:hint="eastAsia" w:cs="Times New Roman"/>
                <w:color w:val="auto"/>
                <w:sz w:val="24"/>
                <w:szCs w:val="22"/>
                <w:highlight w:val="none"/>
                <w:lang w:val="en-US" w:eastAsia="zh-CN"/>
              </w:rPr>
              <w:t>2-3</w:t>
            </w:r>
            <w:r>
              <w:rPr>
                <w:rFonts w:hint="default" w:ascii="Times New Roman" w:hAnsi="Times New Roman" w:cs="Times New Roman"/>
                <w:color w:val="auto"/>
                <w:sz w:val="24"/>
                <w:szCs w:val="22"/>
                <w:highlight w:val="none"/>
                <w:lang w:val="en-US" w:eastAsia="zh-CN"/>
              </w:rPr>
              <w:t>。</w:t>
            </w:r>
          </w:p>
          <w:p>
            <w:pPr>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eastAsia" w:cs="Times New Roman"/>
                <w:b/>
                <w:color w:val="auto"/>
                <w:highlight w:val="none"/>
                <w:lang w:val="en-US" w:eastAsia="zh-CN"/>
              </w:rPr>
              <w:t>2-3</w:t>
            </w:r>
            <w:r>
              <w:rPr>
                <w:rFonts w:hint="default" w:ascii="Times New Roman" w:hAnsi="Times New Roman" w:cs="Times New Roman"/>
                <w:b/>
                <w:color w:val="auto"/>
                <w:highlight w:val="none"/>
              </w:rPr>
              <w:t xml:space="preserve">  原辅材料消耗情况一览表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1"/>
              <w:gridCol w:w="1888"/>
              <w:gridCol w:w="1077"/>
              <w:gridCol w:w="1323"/>
              <w:gridCol w:w="31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63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10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原料名称</w:t>
                  </w:r>
                </w:p>
              </w:tc>
              <w:tc>
                <w:tcPr>
                  <w:tcW w:w="632" w:type="pct"/>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单位 </w:t>
                  </w:r>
                </w:p>
              </w:tc>
              <w:tc>
                <w:tcPr>
                  <w:tcW w:w="777" w:type="pct"/>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年用量</w:t>
                  </w:r>
                </w:p>
              </w:tc>
              <w:tc>
                <w:tcPr>
                  <w:tcW w:w="1844" w:type="pct"/>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包装、储存方式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63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10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石膏粉</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t/a</w:t>
                  </w:r>
                </w:p>
              </w:tc>
              <w:tc>
                <w:tcPr>
                  <w:tcW w:w="77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170000</w:t>
                  </w:r>
                </w:p>
              </w:tc>
              <w:tc>
                <w:tcPr>
                  <w:tcW w:w="184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50kg</w:t>
                  </w:r>
                  <w:r>
                    <w:rPr>
                      <w:rFonts w:hint="default" w:ascii="Times New Roman" w:hAnsi="Times New Roman" w:eastAsia="宋体" w:cs="Times New Roman"/>
                      <w:color w:val="auto"/>
                      <w:sz w:val="21"/>
                      <w:szCs w:val="21"/>
                      <w:highlight w:val="none"/>
                      <w:lang w:val="en-US" w:eastAsia="zh-CN"/>
                    </w:rPr>
                    <w:t>袋装，外购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63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10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t/a</w:t>
                  </w:r>
                </w:p>
              </w:tc>
              <w:tc>
                <w:tcPr>
                  <w:tcW w:w="77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52500</w:t>
                  </w:r>
                </w:p>
              </w:tc>
              <w:tc>
                <w:tcPr>
                  <w:tcW w:w="184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采用地表水，罐车运输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63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10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玻璃纤维网格布</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t/a</w:t>
                  </w:r>
                </w:p>
              </w:tc>
              <w:tc>
                <w:tcPr>
                  <w:tcW w:w="77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184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1500万m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，6g/m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63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10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玻璃纤维丝</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t/a</w:t>
                  </w:r>
                </w:p>
              </w:tc>
              <w:tc>
                <w:tcPr>
                  <w:tcW w:w="77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110</w:t>
                  </w:r>
                </w:p>
              </w:tc>
              <w:tc>
                <w:tcPr>
                  <w:tcW w:w="184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63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10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脱模剂</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t/a</w:t>
                  </w:r>
                </w:p>
              </w:tc>
              <w:tc>
                <w:tcPr>
                  <w:tcW w:w="77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84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桶装，外购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63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10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缓凝剂</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t/a</w:t>
                  </w:r>
                </w:p>
              </w:tc>
              <w:tc>
                <w:tcPr>
                  <w:tcW w:w="77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175</w:t>
                  </w:r>
                </w:p>
              </w:tc>
              <w:tc>
                <w:tcPr>
                  <w:tcW w:w="184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桶装，外购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63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10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发泡剂</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 xml:space="preserve"> t/a</w:t>
                  </w:r>
                </w:p>
              </w:tc>
              <w:tc>
                <w:tcPr>
                  <w:tcW w:w="77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175</w:t>
                  </w:r>
                </w:p>
              </w:tc>
              <w:tc>
                <w:tcPr>
                  <w:tcW w:w="184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桶装，外购</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石膏粉：</w:t>
            </w:r>
            <w:r>
              <w:rPr>
                <w:rFonts w:hint="eastAsia" w:cs="Times New Roman"/>
                <w:color w:val="auto"/>
                <w:sz w:val="24"/>
                <w:szCs w:val="24"/>
                <w:highlight w:val="none"/>
                <w:lang w:val="en-US" w:eastAsia="zh-CN"/>
              </w:rPr>
              <w:t>项目采用天然石膏粉，来源于周边石膏粉生产企业，主要成分</w:t>
            </w:r>
            <w:r>
              <w:rPr>
                <w:rFonts w:hint="eastAsia" w:ascii="Times New Roman" w:hAnsi="Times New Roman" w:eastAsia="宋体" w:cs="Times New Roman"/>
                <w:color w:val="auto"/>
                <w:sz w:val="24"/>
                <w:szCs w:val="24"/>
                <w:highlight w:val="none"/>
                <w:lang w:val="en-US" w:eastAsia="zh-CN"/>
              </w:rPr>
              <w:t>为二水硫酸钙CaSO</w:t>
            </w:r>
            <w:r>
              <w:rPr>
                <w:rFonts w:hint="eastAsia" w:ascii="Times New Roman" w:hAnsi="Times New Roman" w:eastAsia="宋体" w:cs="Times New Roman"/>
                <w:color w:val="auto"/>
                <w:sz w:val="24"/>
                <w:szCs w:val="24"/>
                <w:highlight w:val="none"/>
                <w:vertAlign w:val="subscript"/>
                <w:lang w:val="en-US" w:eastAsia="zh-CN"/>
              </w:rPr>
              <w:t>4</w:t>
            </w:r>
            <w:r>
              <w:rPr>
                <w:rFonts w:hint="eastAsia" w:ascii="Times New Roman" w:hAnsi="Times New Roman" w:eastAsia="宋体" w:cs="Times New Roman"/>
                <w:color w:val="auto"/>
                <w:sz w:val="24"/>
                <w:szCs w:val="24"/>
                <w:highlight w:val="none"/>
                <w:lang w:val="en-US" w:eastAsia="zh-CN"/>
              </w:rPr>
              <w:t>2H</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O，</w:t>
            </w:r>
            <w:r>
              <w:rPr>
                <w:rFonts w:hint="eastAsia" w:cs="Times New Roman"/>
                <w:color w:val="auto"/>
                <w:sz w:val="24"/>
                <w:szCs w:val="24"/>
                <w:highlight w:val="none"/>
                <w:lang w:val="en-US" w:eastAsia="zh-CN"/>
              </w:rPr>
              <w:t>品位〉</w:t>
            </w:r>
            <w:r>
              <w:rPr>
                <w:rFonts w:hint="eastAsia" w:ascii="Times New Roman" w:hAnsi="Times New Roman" w:eastAsia="宋体" w:cs="Times New Roman"/>
                <w:color w:val="auto"/>
                <w:sz w:val="24"/>
                <w:szCs w:val="24"/>
                <w:highlight w:val="none"/>
                <w:lang w:val="en-US" w:eastAsia="zh-CN"/>
              </w:rPr>
              <w:t>90%，</w:t>
            </w:r>
            <w:r>
              <w:rPr>
                <w:rFonts w:hint="eastAsia" w:cs="Times New Roman"/>
                <w:color w:val="auto"/>
                <w:sz w:val="24"/>
                <w:szCs w:val="24"/>
                <w:highlight w:val="none"/>
                <w:lang w:val="en-US" w:eastAsia="zh-CN"/>
              </w:rPr>
              <w:t>粒度80~120目，含水量≤5%，</w:t>
            </w:r>
            <w:r>
              <w:rPr>
                <w:rFonts w:hint="eastAsia" w:ascii="Times New Roman" w:hAnsi="Times New Roman" w:eastAsia="宋体" w:cs="Times New Roman"/>
                <w:color w:val="auto"/>
                <w:sz w:val="24"/>
                <w:szCs w:val="24"/>
                <w:highlight w:val="none"/>
                <w:lang w:val="en-US" w:eastAsia="zh-CN"/>
              </w:rPr>
              <w:t xml:space="preserve">无害、无毒、不燃、无挥发性物质产生。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rPr>
              <w:t>脱模剂</w:t>
            </w:r>
            <w:r>
              <w:rPr>
                <w:rFonts w:hint="eastAsia" w:ascii="Times New Roman" w:hAnsi="Times New Roman" w:eastAsia="宋体" w:cs="Times New Roman"/>
                <w:color w:val="auto"/>
                <w:sz w:val="24"/>
                <w:szCs w:val="24"/>
                <w:highlight w:val="none"/>
                <w:lang w:val="en-US" w:eastAsia="zh-CN"/>
              </w:rPr>
              <w:t>：石蜡类水性脱模剂，是一种乳白色液体，适用于</w:t>
            </w:r>
            <w:r>
              <w:rPr>
                <w:rFonts w:hint="eastAsia" w:ascii="Times New Roman" w:hAnsi="Times New Roman" w:eastAsia="宋体" w:cs="Times New Roman"/>
                <w:color w:val="auto"/>
                <w:sz w:val="24"/>
                <w:szCs w:val="24"/>
                <w:highlight w:val="none"/>
                <w:lang w:val="en-US"/>
              </w:rPr>
              <w:t>钢模、铁模、木模、塑料模、树脂模等。该脱模剂pH值为中性，无毒、无重金属，具有良好的隔离性。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rPr>
              <w:t>缓凝剂</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rPr>
              <w:t>缓凝剂顾名思义就是使石膏凝结的速度缓慢下来。石膏缓凝剂就可以很好的控制石膏凝结的时间，使石膏可以持续一段时间都具有流动性，这样就可以</w:t>
            </w:r>
            <w:r>
              <w:rPr>
                <w:rFonts w:hint="eastAsia" w:cs="Times New Roman"/>
                <w:color w:val="auto"/>
                <w:sz w:val="24"/>
                <w:szCs w:val="24"/>
                <w:highlight w:val="none"/>
                <w:lang w:val="en-US" w:eastAsia="zh-CN"/>
              </w:rPr>
              <w:t>大大地减少</w:t>
            </w:r>
            <w:r>
              <w:rPr>
                <w:rFonts w:hint="eastAsia" w:ascii="Times New Roman" w:hAnsi="Times New Roman" w:eastAsia="宋体" w:cs="Times New Roman"/>
                <w:color w:val="auto"/>
                <w:sz w:val="24"/>
                <w:szCs w:val="24"/>
                <w:highlight w:val="none"/>
                <w:lang w:val="en-US"/>
              </w:rPr>
              <w:t>石膏的浪费与损失和提高施工的效率</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rPr>
              <w:t>缓凝剂</w:t>
            </w:r>
            <w:r>
              <w:rPr>
                <w:rFonts w:hint="eastAsia" w:ascii="Times New Roman" w:hAnsi="Times New Roman" w:eastAsia="宋体" w:cs="Times New Roman"/>
                <w:color w:val="auto"/>
                <w:sz w:val="24"/>
                <w:szCs w:val="24"/>
                <w:highlight w:val="none"/>
                <w:lang w:val="en-US" w:eastAsia="zh-CN"/>
              </w:rPr>
              <w:t>配方为：麦芽糊精73%，柠檬酸13%，焦磷酸钠14%，无害、无毒、无挥发性物质产生。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发泡剂：由阴离子表面活性剂和稳泡剂配置而成，用水稀释倍数后用发泡剂打成丰富细密的泡沫，和石膏浆混均匀后称石膏板，主要成份是十二烷基硫酸钠，无害、无毒、不燃、无挥发性物质产生。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玻璃纤维：玻璃纤维是一种性能优异的无机非金属材料。种类繁多，优点是绝缘性好、耐热性强、抗腐蚀性好，机械强度高，但缺点是性脆，耐磨性较差。它是以玻璃球或废旧玻璃钢为原料，经高温熔制、拉丝、络纱、织布等工艺制造成的，每束纤维原丝都由数百根甚至上千根单丝组成。</w:t>
            </w:r>
          </w:p>
          <w:p>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jc w:val="both"/>
              <w:textAlignment w:val="auto"/>
              <w:rPr>
                <w:rFonts w:hint="default" w:ascii="Times New Roman" w:hAnsi="Times New Roman" w:cs="Times New Roman"/>
                <w:b w:val="0"/>
                <w:bCs w:val="0"/>
                <w:color w:val="auto"/>
                <w:sz w:val="24"/>
                <w:szCs w:val="22"/>
                <w:highlight w:val="none"/>
                <w:lang w:val="en-US" w:eastAsia="zh-CN"/>
              </w:rPr>
            </w:pPr>
            <w:r>
              <w:rPr>
                <w:rFonts w:hint="default" w:ascii="Times New Roman" w:hAnsi="Times New Roman" w:cs="Times New Roman"/>
                <w:b w:val="0"/>
                <w:bCs w:val="0"/>
                <w:color w:val="auto"/>
                <w:sz w:val="24"/>
                <w:szCs w:val="22"/>
                <w:highlight w:val="none"/>
                <w:lang w:val="en-US" w:eastAsia="zh-CN"/>
              </w:rPr>
              <w:t>（2）物料平衡</w:t>
            </w:r>
          </w:p>
          <w:p>
            <w:pPr>
              <w:pStyle w:val="19"/>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val="0"/>
                <w:bCs/>
                <w:color w:val="auto"/>
                <w:sz w:val="24"/>
                <w:highlight w:val="none"/>
                <w:lang w:eastAsia="zh-CN"/>
              </w:rPr>
              <w:t>项目原料主要为</w:t>
            </w:r>
            <w:r>
              <w:rPr>
                <w:rFonts w:hint="eastAsia" w:ascii="Times New Roman" w:eastAsia="宋体" w:cs="Times New Roman"/>
                <w:b w:val="0"/>
                <w:bCs/>
                <w:color w:val="auto"/>
                <w:sz w:val="24"/>
                <w:highlight w:val="none"/>
                <w:lang w:val="en-US" w:eastAsia="zh-CN"/>
              </w:rPr>
              <w:t>石膏粉</w:t>
            </w:r>
            <w:r>
              <w:rPr>
                <w:rFonts w:hint="default" w:ascii="Times New Roman" w:hAnsi="Times New Roman" w:eastAsia="宋体" w:cs="Times New Roman"/>
                <w:b w:val="0"/>
                <w:bCs/>
                <w:color w:val="auto"/>
                <w:sz w:val="24"/>
                <w:highlight w:val="none"/>
                <w:lang w:eastAsia="zh-CN"/>
              </w:rPr>
              <w:t>，经过</w:t>
            </w:r>
            <w:r>
              <w:rPr>
                <w:rFonts w:hint="eastAsia" w:ascii="Times New Roman" w:eastAsia="宋体" w:cs="Times New Roman"/>
                <w:b w:val="0"/>
                <w:bCs/>
                <w:color w:val="auto"/>
                <w:sz w:val="24"/>
                <w:highlight w:val="none"/>
                <w:lang w:val="en-US" w:eastAsia="zh-CN"/>
              </w:rPr>
              <w:t>搅拌、打浆、制条、切割、烘干</w:t>
            </w:r>
            <w:r>
              <w:rPr>
                <w:rFonts w:hint="default" w:ascii="Times New Roman" w:hAnsi="Times New Roman" w:eastAsia="宋体" w:cs="Times New Roman"/>
                <w:b w:val="0"/>
                <w:bCs/>
                <w:color w:val="auto"/>
                <w:sz w:val="24"/>
                <w:highlight w:val="none"/>
                <w:lang w:eastAsia="zh-CN"/>
              </w:rPr>
              <w:t>等工序处理后，形成产品</w:t>
            </w:r>
            <w:r>
              <w:rPr>
                <w:rFonts w:hint="eastAsia" w:ascii="Times New Roman" w:eastAsia="宋体" w:cs="Times New Roman"/>
                <w:b w:val="0"/>
                <w:bCs/>
                <w:color w:val="auto"/>
                <w:sz w:val="24"/>
                <w:highlight w:val="none"/>
                <w:lang w:val="en-US" w:eastAsia="zh-CN"/>
              </w:rPr>
              <w:t>石膏线条，含水率≤8%</w:t>
            </w:r>
            <w:r>
              <w:rPr>
                <w:rFonts w:hint="default" w:ascii="Times New Roman" w:hAnsi="Times New Roman" w:eastAsia="宋体" w:cs="Times New Roman"/>
                <w:color w:val="auto"/>
                <w:sz w:val="24"/>
                <w:szCs w:val="24"/>
                <w:highlight w:val="none"/>
                <w:lang w:eastAsia="zh-CN"/>
              </w:rPr>
              <w:t>，项目物料平衡见表</w:t>
            </w:r>
            <w:r>
              <w:rPr>
                <w:rFonts w:hint="eastAsia" w:asci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18"/>
                <w:highlight w:val="none"/>
              </w:rPr>
            </w:pPr>
            <w:r>
              <w:rPr>
                <w:rFonts w:hint="default" w:ascii="Times New Roman" w:hAnsi="Times New Roman" w:cs="Times New Roman"/>
                <w:b/>
                <w:bCs/>
                <w:color w:val="auto"/>
                <w:sz w:val="21"/>
                <w:szCs w:val="18"/>
                <w:highlight w:val="none"/>
              </w:rPr>
              <w:t>表</w:t>
            </w:r>
            <w:r>
              <w:rPr>
                <w:rFonts w:hint="eastAsia" w:cs="Times New Roman"/>
                <w:b/>
                <w:bCs/>
                <w:color w:val="auto"/>
                <w:sz w:val="21"/>
                <w:szCs w:val="18"/>
                <w:highlight w:val="none"/>
                <w:lang w:val="en-US" w:eastAsia="zh-CN"/>
              </w:rPr>
              <w:t>2-4</w:t>
            </w:r>
            <w:r>
              <w:rPr>
                <w:rFonts w:hint="default" w:ascii="Times New Roman" w:hAnsi="Times New Roman" w:cs="Times New Roman"/>
                <w:b/>
                <w:bCs/>
                <w:color w:val="auto"/>
                <w:sz w:val="21"/>
                <w:szCs w:val="18"/>
                <w:highlight w:val="none"/>
              </w:rPr>
              <w:t xml:space="preserve">  </w:t>
            </w:r>
            <w:r>
              <w:rPr>
                <w:rFonts w:hint="default" w:ascii="Times New Roman" w:hAnsi="Times New Roman" w:cs="Times New Roman"/>
                <w:b/>
                <w:bCs/>
                <w:color w:val="auto"/>
                <w:sz w:val="21"/>
                <w:szCs w:val="18"/>
                <w:highlight w:val="none"/>
                <w:lang w:eastAsia="zh-CN"/>
              </w:rPr>
              <w:t>项目物料</w:t>
            </w:r>
            <w:r>
              <w:rPr>
                <w:rFonts w:hint="default" w:ascii="Times New Roman" w:hAnsi="Times New Roman" w:cs="Times New Roman"/>
                <w:b/>
                <w:bCs/>
                <w:color w:val="auto"/>
                <w:sz w:val="21"/>
                <w:szCs w:val="18"/>
                <w:highlight w:val="none"/>
              </w:rPr>
              <w:t>平衡表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6"/>
              <w:gridCol w:w="1926"/>
              <w:gridCol w:w="804"/>
              <w:gridCol w:w="1166"/>
              <w:gridCol w:w="1405"/>
              <w:gridCol w:w="1228"/>
              <w:gridCol w:w="12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438"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序号</w:t>
                  </w:r>
                </w:p>
              </w:tc>
              <w:tc>
                <w:tcPr>
                  <w:tcW w:w="2288" w:type="pct"/>
                  <w:gridSpan w:val="3"/>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物料投入</w:t>
                  </w:r>
                </w:p>
              </w:tc>
              <w:tc>
                <w:tcPr>
                  <w:tcW w:w="2272" w:type="pct"/>
                  <w:gridSpan w:val="3"/>
                  <w:noWrap w:val="0"/>
                  <w:vAlign w:val="top"/>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产品产出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 w:hRule="atLeast"/>
              </w:trPr>
              <w:tc>
                <w:tcPr>
                  <w:tcW w:w="438"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131"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石膏粉</w:t>
                  </w:r>
                </w:p>
              </w:tc>
              <w:tc>
                <w:tcPr>
                  <w:tcW w:w="472" w:type="pct"/>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t/a</w:t>
                  </w:r>
                </w:p>
              </w:tc>
              <w:tc>
                <w:tcPr>
                  <w:tcW w:w="685"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170000</w:t>
                  </w:r>
                </w:p>
              </w:tc>
              <w:tc>
                <w:tcPr>
                  <w:tcW w:w="825"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产品</w:t>
                  </w:r>
                </w:p>
              </w:tc>
              <w:tc>
                <w:tcPr>
                  <w:tcW w:w="721" w:type="pct"/>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t/a</w:t>
                  </w:r>
                </w:p>
              </w:tc>
              <w:tc>
                <w:tcPr>
                  <w:tcW w:w="72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9" w:hRule="atLeast"/>
              </w:trPr>
              <w:tc>
                <w:tcPr>
                  <w:tcW w:w="438"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131"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w:t>
                  </w:r>
                </w:p>
              </w:tc>
              <w:tc>
                <w:tcPr>
                  <w:tcW w:w="472" w:type="pct"/>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t/a</w:t>
                  </w:r>
                </w:p>
              </w:tc>
              <w:tc>
                <w:tcPr>
                  <w:tcW w:w="685"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51000</w:t>
                  </w:r>
                </w:p>
              </w:tc>
              <w:tc>
                <w:tcPr>
                  <w:tcW w:w="825"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rPr>
                    <w:t>除尘灰</w:t>
                  </w:r>
                </w:p>
              </w:tc>
              <w:tc>
                <w:tcPr>
                  <w:tcW w:w="721" w:type="pct"/>
                  <w:noWrap w:val="0"/>
                  <w:vAlign w:val="center"/>
                </w:tcPr>
                <w:p>
                  <w:pPr>
                    <w:jc w:val="center"/>
                    <w:rPr>
                      <w:rFonts w:hint="eastAsia" w:ascii="Times New Roman" w:hAnsi="Times New Roman" w:eastAsia="宋体" w:cs="Times New Roman"/>
                      <w:color w:val="auto"/>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 xml:space="preserve"> t/a</w:t>
                  </w:r>
                </w:p>
              </w:tc>
              <w:tc>
                <w:tcPr>
                  <w:tcW w:w="726"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438"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3</w:t>
                  </w:r>
                </w:p>
              </w:tc>
              <w:tc>
                <w:tcPr>
                  <w:tcW w:w="1131"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玻璃纤维网格布</w:t>
                  </w:r>
                </w:p>
              </w:tc>
              <w:tc>
                <w:tcPr>
                  <w:tcW w:w="472" w:type="pct"/>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t/a</w:t>
                  </w:r>
                </w:p>
              </w:tc>
              <w:tc>
                <w:tcPr>
                  <w:tcW w:w="685"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rPr>
                    <w:t>90</w:t>
                  </w:r>
                </w:p>
              </w:tc>
              <w:tc>
                <w:tcPr>
                  <w:tcW w:w="825"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蒸发损耗</w:t>
                  </w:r>
                </w:p>
              </w:tc>
              <w:tc>
                <w:tcPr>
                  <w:tcW w:w="721" w:type="pct"/>
                  <w:noWrap w:val="0"/>
                  <w:vAlign w:val="center"/>
                </w:tcPr>
                <w:p>
                  <w:pPr>
                    <w:jc w:val="center"/>
                    <w:rPr>
                      <w:rFonts w:hint="eastAsia" w:ascii="Times New Roman" w:hAnsi="Times New Roman" w:eastAsia="宋体" w:cs="Times New Roman"/>
                      <w:color w:val="auto"/>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 xml:space="preserve"> t/a</w:t>
                  </w:r>
                </w:p>
              </w:tc>
              <w:tc>
                <w:tcPr>
                  <w:tcW w:w="726"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46492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 w:hRule="atLeast"/>
              </w:trPr>
              <w:tc>
                <w:tcPr>
                  <w:tcW w:w="438"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4</w:t>
                  </w:r>
                </w:p>
              </w:tc>
              <w:tc>
                <w:tcPr>
                  <w:tcW w:w="1131" w:type="pct"/>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玻璃纤维丝</w:t>
                  </w:r>
                </w:p>
              </w:tc>
              <w:tc>
                <w:tcPr>
                  <w:tcW w:w="472" w:type="pct"/>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t/a</w:t>
                  </w:r>
                </w:p>
              </w:tc>
              <w:tc>
                <w:tcPr>
                  <w:tcW w:w="685"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rPr>
                    <w:t>110</w:t>
                  </w:r>
                </w:p>
              </w:tc>
              <w:tc>
                <w:tcPr>
                  <w:tcW w:w="825"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粉尘</w:t>
                  </w:r>
                </w:p>
              </w:tc>
              <w:tc>
                <w:tcPr>
                  <w:tcW w:w="721" w:type="pct"/>
                  <w:noWrap w:val="0"/>
                  <w:vAlign w:val="center"/>
                </w:tcPr>
                <w:p>
                  <w:pPr>
                    <w:jc w:val="center"/>
                    <w:rPr>
                      <w:rFonts w:hint="eastAsia" w:ascii="Times New Roman" w:hAnsi="Times New Roman" w:eastAsia="宋体" w:cs="Times New Roman"/>
                      <w:color w:val="auto"/>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 xml:space="preserve"> t/a</w:t>
                  </w:r>
                </w:p>
              </w:tc>
              <w:tc>
                <w:tcPr>
                  <w:tcW w:w="726"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0.48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438"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5</w:t>
                  </w:r>
                </w:p>
              </w:tc>
              <w:tc>
                <w:tcPr>
                  <w:tcW w:w="11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缓凝剂</w:t>
                  </w:r>
                </w:p>
              </w:tc>
              <w:tc>
                <w:tcPr>
                  <w:tcW w:w="47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 xml:space="preserve"> t/a</w:t>
                  </w:r>
                </w:p>
              </w:tc>
              <w:tc>
                <w:tcPr>
                  <w:tcW w:w="685"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175</w:t>
                  </w:r>
                </w:p>
              </w:tc>
              <w:tc>
                <w:tcPr>
                  <w:tcW w:w="825"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不合格品</w:t>
                  </w:r>
                </w:p>
              </w:tc>
              <w:tc>
                <w:tcPr>
                  <w:tcW w:w="721" w:type="pct"/>
                  <w:noWrap w:val="0"/>
                  <w:vAlign w:val="center"/>
                </w:tcPr>
                <w:p>
                  <w:pPr>
                    <w:jc w:val="center"/>
                    <w:rPr>
                      <w:rFonts w:hint="eastAsia" w:ascii="Times New Roman" w:hAnsi="Times New Roman" w:eastAsia="宋体" w:cs="Times New Roman"/>
                      <w:color w:val="auto"/>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 xml:space="preserve"> t/a</w:t>
                  </w:r>
                </w:p>
              </w:tc>
              <w:tc>
                <w:tcPr>
                  <w:tcW w:w="726"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1.75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438"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6</w:t>
                  </w:r>
                </w:p>
              </w:tc>
              <w:tc>
                <w:tcPr>
                  <w:tcW w:w="1131"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发泡剂</w:t>
                  </w:r>
                </w:p>
              </w:tc>
              <w:tc>
                <w:tcPr>
                  <w:tcW w:w="47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 xml:space="preserve"> t/a</w:t>
                  </w:r>
                </w:p>
              </w:tc>
              <w:tc>
                <w:tcPr>
                  <w:tcW w:w="685"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175</w:t>
                  </w:r>
                </w:p>
              </w:tc>
              <w:tc>
                <w:tcPr>
                  <w:tcW w:w="825"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损耗</w:t>
                  </w:r>
                </w:p>
              </w:tc>
              <w:tc>
                <w:tcPr>
                  <w:tcW w:w="721" w:type="pct"/>
                  <w:noWrap w:val="0"/>
                  <w:vAlign w:val="center"/>
                </w:tcPr>
                <w:p>
                  <w:pPr>
                    <w:jc w:val="center"/>
                    <w:rPr>
                      <w:rFonts w:hint="eastAsia" w:ascii="Times New Roman" w:hAnsi="Times New Roman" w:eastAsia="宋体" w:cs="Times New Roman"/>
                      <w:color w:val="auto"/>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 xml:space="preserve"> t/a</w:t>
                  </w:r>
                </w:p>
              </w:tc>
              <w:tc>
                <w:tcPr>
                  <w:tcW w:w="726" w:type="pct"/>
                  <w:noWrap w:val="0"/>
                  <w:vAlign w:val="center"/>
                </w:tcPr>
                <w:p>
                  <w:pPr>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5.77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 w:hRule="atLeast"/>
              </w:trPr>
              <w:tc>
                <w:tcPr>
                  <w:tcW w:w="1569" w:type="pct"/>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472" w:type="pct"/>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t/a</w:t>
                  </w:r>
                </w:p>
              </w:tc>
              <w:tc>
                <w:tcPr>
                  <w:tcW w:w="685"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221550</w:t>
                  </w:r>
                </w:p>
              </w:tc>
              <w:tc>
                <w:tcPr>
                  <w:tcW w:w="825"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21" w:type="pct"/>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t/a</w:t>
                  </w:r>
                </w:p>
              </w:tc>
              <w:tc>
                <w:tcPr>
                  <w:tcW w:w="72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221550</w:t>
                  </w:r>
                </w:p>
              </w:tc>
            </w:tr>
          </w:tbl>
          <w:p>
            <w:pPr>
              <w:pStyle w:val="12"/>
              <w:adjustRightInd w:val="0"/>
              <w:spacing w:before="120" w:beforeLines="50" w:line="360" w:lineRule="auto"/>
              <w:ind w:left="0" w:leftChars="0" w:right="0" w:rightChars="0"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6、主要生产设备</w:t>
            </w:r>
          </w:p>
          <w:p>
            <w:pPr>
              <w:pStyle w:val="1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本项目主要设备情况见表</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w:t>
            </w:r>
          </w:p>
          <w:p>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eastAsia" w:cs="Times New Roman"/>
                <w:b/>
                <w:color w:val="auto"/>
                <w:szCs w:val="21"/>
                <w:highlight w:val="none"/>
                <w:lang w:val="en-US" w:eastAsia="zh-CN"/>
              </w:rPr>
              <w:t>2-5</w:t>
            </w:r>
            <w:r>
              <w:rPr>
                <w:rFonts w:hint="default" w:ascii="Times New Roman" w:hAnsi="Times New Roman" w:cs="Times New Roman"/>
                <w:b/>
                <w:color w:val="auto"/>
                <w:szCs w:val="21"/>
                <w:highlight w:val="none"/>
              </w:rPr>
              <w:t xml:space="preserve">  主要设备一览表</w:t>
            </w:r>
          </w:p>
          <w:tbl>
            <w:tblPr>
              <w:tblStyle w:val="24"/>
              <w:tblW w:w="4994"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40"/>
              <w:gridCol w:w="1854"/>
              <w:gridCol w:w="961"/>
              <w:gridCol w:w="3300"/>
              <w:gridCol w:w="164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 备 名 称</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台（套）</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型号</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09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立式搅拌机</w:t>
                  </w:r>
                </w:p>
              </w:tc>
              <w:tc>
                <w:tcPr>
                  <w:tcW w:w="565"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1</w:t>
                  </w:r>
                </w:p>
              </w:tc>
              <w:tc>
                <w:tcPr>
                  <w:tcW w:w="194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多功能搅拌机</w:t>
                  </w:r>
                  <w:r>
                    <w:rPr>
                      <w:rFonts w:hint="default" w:ascii="Times New Roman" w:hAnsi="Times New Roman" w:eastAsia="宋体" w:cs="Times New Roman"/>
                      <w:bCs/>
                      <w:color w:val="auto"/>
                      <w:highlight w:val="none"/>
                    </w:rPr>
                    <w:t>HZS</w:t>
                  </w:r>
                  <w:r>
                    <w:rPr>
                      <w:rFonts w:hint="eastAsia" w:ascii="Times New Roman" w:hAnsi="Times New Roman" w:eastAsia="宋体" w:cs="Times New Roman"/>
                      <w:bCs/>
                      <w:color w:val="auto"/>
                      <w:highlight w:val="none"/>
                      <w:lang w:val="en-US" w:eastAsia="zh-CN"/>
                    </w:rPr>
                    <w:t>9</w:t>
                  </w:r>
                  <w:r>
                    <w:rPr>
                      <w:rFonts w:hint="default" w:ascii="Times New Roman" w:hAnsi="Times New Roman" w:eastAsia="宋体" w:cs="Times New Roman"/>
                      <w:bCs/>
                      <w:color w:val="auto"/>
                      <w:highlight w:val="none"/>
                    </w:rPr>
                    <w:t>0B</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09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烘干机</w:t>
                  </w:r>
                </w:p>
              </w:tc>
              <w:tc>
                <w:tcPr>
                  <w:tcW w:w="565"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w:t>
                  </w:r>
                </w:p>
              </w:tc>
              <w:tc>
                <w:tcPr>
                  <w:tcW w:w="194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200型</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电加热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09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打浆机</w:t>
                  </w:r>
                </w:p>
              </w:tc>
              <w:tc>
                <w:tcPr>
                  <w:tcW w:w="565"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w:t>
                  </w:r>
                </w:p>
              </w:tc>
              <w:tc>
                <w:tcPr>
                  <w:tcW w:w="194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KS-001</w:t>
                  </w:r>
                  <w:r>
                    <w:rPr>
                      <w:rFonts w:hint="eastAsia" w:cs="Times New Roman"/>
                      <w:color w:val="auto"/>
                      <w:sz w:val="21"/>
                      <w:szCs w:val="21"/>
                      <w:highlight w:val="none"/>
                      <w:vertAlign w:val="baseline"/>
                      <w:lang w:val="en-US" w:eastAsia="zh-CN"/>
                    </w:rPr>
                    <w:t>，100t/h</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09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液压开合模机</w:t>
                  </w:r>
                </w:p>
              </w:tc>
              <w:tc>
                <w:tcPr>
                  <w:tcW w:w="565"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1</w:t>
                  </w:r>
                </w:p>
              </w:tc>
              <w:tc>
                <w:tcPr>
                  <w:tcW w:w="1940" w:type="pct"/>
                  <w:noWrap w:val="0"/>
                  <w:vAlign w:val="center"/>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DFM01310-100</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09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自动定尺切割机</w:t>
                  </w:r>
                </w:p>
              </w:tc>
              <w:tc>
                <w:tcPr>
                  <w:tcW w:w="565"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1</w:t>
                  </w:r>
                </w:p>
              </w:tc>
              <w:tc>
                <w:tcPr>
                  <w:tcW w:w="194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DS-A600</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0" w:hRule="atLeast"/>
                <w:jc w:val="center"/>
              </w:trPr>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09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变压器</w:t>
                  </w:r>
                </w:p>
              </w:tc>
              <w:tc>
                <w:tcPr>
                  <w:tcW w:w="565"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1</w:t>
                  </w:r>
                </w:p>
              </w:tc>
              <w:tc>
                <w:tcPr>
                  <w:tcW w:w="194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250KVA</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09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制条机</w:t>
                  </w:r>
                </w:p>
              </w:tc>
              <w:tc>
                <w:tcPr>
                  <w:tcW w:w="565"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4</w:t>
                  </w:r>
                </w:p>
              </w:tc>
              <w:tc>
                <w:tcPr>
                  <w:tcW w:w="194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XLY1500</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090" w:type="pct"/>
                  <w:noWrap w:val="0"/>
                  <w:vAlign w:val="top"/>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滚式输送机</w:t>
                  </w:r>
                </w:p>
              </w:tc>
              <w:tc>
                <w:tcPr>
                  <w:tcW w:w="565"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w:t>
                  </w:r>
                </w:p>
              </w:tc>
              <w:tc>
                <w:tcPr>
                  <w:tcW w:w="1940" w:type="pct"/>
                  <w:noWrap w:val="0"/>
                  <w:vAlign w:val="top"/>
                </w:tcPr>
                <w:p>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ZC-GT05</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09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地磅</w:t>
                  </w:r>
                </w:p>
              </w:tc>
              <w:tc>
                <w:tcPr>
                  <w:tcW w:w="565"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1台</w:t>
                  </w:r>
                </w:p>
              </w:tc>
              <w:tc>
                <w:tcPr>
                  <w:tcW w:w="194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50t</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09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洗车设备</w:t>
                  </w:r>
                </w:p>
              </w:tc>
              <w:tc>
                <w:tcPr>
                  <w:tcW w:w="565"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1套</w:t>
                  </w:r>
                </w:p>
              </w:tc>
              <w:tc>
                <w:tcPr>
                  <w:tcW w:w="194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4m×2.5m，设24个喷头</w:t>
                  </w:r>
                </w:p>
              </w:tc>
              <w:tc>
                <w:tcPr>
                  <w:tcW w:w="96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布袋除尘器</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过滤面积</w:t>
                  </w:r>
                  <w:r>
                    <w:rPr>
                      <w:rFonts w:hint="eastAsia" w:cs="Times New Roman"/>
                      <w:color w:val="auto"/>
                      <w:sz w:val="21"/>
                      <w:szCs w:val="21"/>
                      <w:highlight w:val="none"/>
                      <w:lang w:val="en-US" w:eastAsia="zh-CN"/>
                    </w:rPr>
                    <w:t>500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，过滤风速0.</w:t>
                  </w:r>
                  <w:r>
                    <w:rPr>
                      <w:rFonts w:hint="default" w:ascii="Times New Roman" w:hAnsi="Times New Roman" w:eastAsia="宋体" w:cs="Times New Roman"/>
                      <w:color w:val="auto"/>
                      <w:sz w:val="21"/>
                      <w:szCs w:val="21"/>
                      <w:highlight w:val="none"/>
                      <w:lang w:val="en-US" w:eastAsia="zh-CN"/>
                    </w:rPr>
                    <w:t>6</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m/min</w:t>
                  </w:r>
                  <w:r>
                    <w:rPr>
                      <w:rFonts w:hint="default" w:ascii="Times New Roman" w:hAnsi="Times New Roman" w:eastAsia="宋体" w:cs="Times New Roman"/>
                      <w:color w:val="auto"/>
                      <w:sz w:val="21"/>
                      <w:szCs w:val="21"/>
                      <w:highlight w:val="none"/>
                      <w:lang w:eastAsia="zh-CN"/>
                    </w:rPr>
                    <w:t>，采用覆膜滤袋</w:t>
                  </w:r>
                </w:p>
              </w:tc>
              <w:tc>
                <w:tcPr>
                  <w:tcW w:w="96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风机</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变频轴流风机，</w:t>
                  </w:r>
                  <w:r>
                    <w:rPr>
                      <w:rFonts w:hint="default" w:ascii="Times New Roman" w:hAnsi="Times New Roman" w:eastAsia="宋体" w:cs="Times New Roman"/>
                      <w:color w:val="auto"/>
                      <w:sz w:val="21"/>
                      <w:szCs w:val="21"/>
                      <w:highlight w:val="none"/>
                    </w:rPr>
                    <w:t>风量</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adjustRightInd w:val="0"/>
              <w:snapToGrid w:val="0"/>
              <w:spacing w:before="120" w:beforeLines="50" w:line="360" w:lineRule="auto"/>
              <w:ind w:firstLine="480" w:firstLineChars="200"/>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rPr>
              <w:t>对照</w:t>
            </w:r>
            <w:r>
              <w:rPr>
                <w:rFonts w:hint="default" w:ascii="Times New Roman" w:hAnsi="Times New Roman" w:cs="Times New Roman"/>
                <w:bCs/>
                <w:color w:val="auto"/>
                <w:sz w:val="24"/>
                <w:highlight w:val="none"/>
              </w:rPr>
              <w:t>《产业结构调整指导目录（2019年本）》，本项目无淘汰类生产设备。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b/>
                <w:bCs/>
                <w:color w:val="auto"/>
                <w:kern w:val="0"/>
                <w:sz w:val="24"/>
                <w:highlight w:val="none"/>
              </w:rPr>
              <w:t>产能核算：</w:t>
            </w:r>
            <w:r>
              <w:rPr>
                <w:rFonts w:hint="default" w:ascii="Times New Roman" w:hAnsi="Times New Roman" w:eastAsia="宋体" w:cs="Times New Roman"/>
                <w:bCs/>
                <w:color w:val="auto"/>
                <w:kern w:val="0"/>
                <w:sz w:val="24"/>
                <w:highlight w:val="none"/>
              </w:rPr>
              <w:t>本项目搅拌机</w:t>
            </w:r>
            <w:r>
              <w:rPr>
                <w:rFonts w:hint="default" w:ascii="Times New Roman" w:hAnsi="Times New Roman" w:eastAsia="宋体" w:cs="Times New Roman"/>
                <w:color w:val="auto"/>
                <w:kern w:val="0"/>
                <w:sz w:val="24"/>
                <w:highlight w:val="none"/>
              </w:rPr>
              <w:t>生产</w:t>
            </w:r>
            <w:r>
              <w:rPr>
                <w:rFonts w:hint="default" w:ascii="Times New Roman" w:hAnsi="Times New Roman" w:eastAsia="宋体" w:cs="Times New Roman"/>
                <w:color w:val="auto"/>
                <w:kern w:val="0"/>
                <w:sz w:val="24"/>
                <w:highlight w:val="none"/>
                <w:lang w:eastAsia="zh-CN"/>
              </w:rPr>
              <w:t>能力</w:t>
            </w:r>
            <w:r>
              <w:rPr>
                <w:rFonts w:hint="default" w:ascii="Times New Roman" w:hAnsi="Times New Roman" w:eastAsia="宋体" w:cs="Times New Roman"/>
                <w:color w:val="auto"/>
                <w:kern w:val="0"/>
                <w:sz w:val="24"/>
                <w:highlight w:val="none"/>
              </w:rPr>
              <w:t>为</w:t>
            </w:r>
            <w:r>
              <w:rPr>
                <w:rFonts w:hint="eastAsia" w:ascii="Times New Roman" w:hAnsi="Times New Roman" w:eastAsia="宋体" w:cs="Times New Roman"/>
                <w:color w:val="auto"/>
                <w:kern w:val="0"/>
                <w:sz w:val="24"/>
                <w:highlight w:val="none"/>
                <w:lang w:val="en-US" w:eastAsia="zh-CN"/>
              </w:rPr>
              <w:t>9</w:t>
            </w:r>
            <w:r>
              <w:rPr>
                <w:rFonts w:hint="default" w:ascii="Times New Roman" w:hAnsi="Times New Roman" w:eastAsia="宋体" w:cs="Times New Roman"/>
                <w:color w:val="auto"/>
                <w:kern w:val="0"/>
                <w:sz w:val="24"/>
                <w:highlight w:val="none"/>
                <w:lang w:val="en-US" w:eastAsia="zh-CN"/>
              </w:rPr>
              <w:t>0</w:t>
            </w:r>
            <w:r>
              <w:rPr>
                <w:rFonts w:hint="eastAsia" w:ascii="Times New Roman" w:hAnsi="Times New Roman" w:eastAsia="宋体" w:cs="Times New Roman"/>
                <w:color w:val="auto"/>
                <w:kern w:val="0"/>
                <w:sz w:val="24"/>
                <w:highlight w:val="none"/>
                <w:lang w:val="en-US" w:eastAsia="zh-CN"/>
              </w:rPr>
              <w:t>t</w:t>
            </w:r>
            <w:r>
              <w:rPr>
                <w:rFonts w:hint="default" w:ascii="Times New Roman" w:hAnsi="Times New Roman" w:eastAsia="宋体" w:cs="Times New Roman"/>
                <w:color w:val="auto"/>
                <w:kern w:val="0"/>
                <w:sz w:val="24"/>
                <w:highlight w:val="none"/>
              </w:rPr>
              <w:t>/h，年工作天数</w:t>
            </w:r>
            <w:r>
              <w:rPr>
                <w:rFonts w:hint="eastAsia" w:ascii="Times New Roman" w:hAnsi="Times New Roman" w:eastAsia="宋体" w:cs="Times New Roman"/>
                <w:color w:val="auto"/>
                <w:kern w:val="0"/>
                <w:sz w:val="24"/>
                <w:highlight w:val="none"/>
                <w:lang w:val="en-US" w:eastAsia="zh-CN"/>
              </w:rPr>
              <w:t>300</w:t>
            </w:r>
            <w:r>
              <w:rPr>
                <w:rFonts w:hint="default" w:ascii="Times New Roman" w:hAnsi="Times New Roman" w:eastAsia="宋体" w:cs="Times New Roman"/>
                <w:color w:val="auto"/>
                <w:kern w:val="0"/>
                <w:sz w:val="24"/>
                <w:highlight w:val="none"/>
              </w:rPr>
              <w:t>d，</w:t>
            </w:r>
            <w:r>
              <w:rPr>
                <w:rFonts w:hint="default" w:ascii="Times New Roman" w:hAnsi="Times New Roman" w:eastAsia="宋体" w:cs="Times New Roman"/>
                <w:color w:val="auto"/>
                <w:kern w:val="0"/>
                <w:sz w:val="24"/>
                <w:highlight w:val="none"/>
                <w:lang w:eastAsia="zh-CN"/>
              </w:rPr>
              <w:t>平均</w:t>
            </w:r>
            <w:r>
              <w:rPr>
                <w:rFonts w:hint="default" w:ascii="Times New Roman" w:hAnsi="Times New Roman" w:eastAsia="宋体" w:cs="Times New Roman"/>
                <w:color w:val="auto"/>
                <w:kern w:val="0"/>
                <w:sz w:val="24"/>
                <w:highlight w:val="none"/>
              </w:rPr>
              <w:t>每天</w:t>
            </w:r>
            <w:r>
              <w:rPr>
                <w:rFonts w:hint="default" w:ascii="Times New Roman" w:hAnsi="Times New Roman" w:eastAsia="宋体" w:cs="Times New Roman"/>
                <w:color w:val="auto"/>
                <w:kern w:val="0"/>
                <w:sz w:val="24"/>
                <w:highlight w:val="none"/>
                <w:lang w:eastAsia="zh-CN"/>
              </w:rPr>
              <w:t>运行</w:t>
            </w:r>
            <w:r>
              <w:rPr>
                <w:rFonts w:hint="eastAsia" w:ascii="Times New Roman" w:hAnsi="Times New Roman" w:eastAsia="宋体" w:cs="Times New Roman"/>
                <w:color w:val="auto"/>
                <w:kern w:val="0"/>
                <w:sz w:val="24"/>
                <w:highlight w:val="none"/>
                <w:lang w:val="en-US" w:eastAsia="zh-CN"/>
              </w:rPr>
              <w:t>8</w:t>
            </w:r>
            <w:r>
              <w:rPr>
                <w:rFonts w:hint="default" w:ascii="Times New Roman" w:hAnsi="Times New Roman" w:eastAsia="宋体" w:cs="Times New Roman"/>
                <w:color w:val="auto"/>
                <w:kern w:val="0"/>
                <w:sz w:val="24"/>
                <w:highlight w:val="none"/>
              </w:rPr>
              <w:t>h，</w:t>
            </w:r>
            <w:r>
              <w:rPr>
                <w:rFonts w:hint="default" w:ascii="Times New Roman" w:hAnsi="Times New Roman" w:eastAsia="宋体" w:cs="Times New Roman"/>
                <w:color w:val="auto"/>
                <w:kern w:val="0"/>
                <w:sz w:val="24"/>
                <w:highlight w:val="none"/>
                <w:lang w:eastAsia="zh-CN"/>
              </w:rPr>
              <w:t>则</w:t>
            </w:r>
            <w:r>
              <w:rPr>
                <w:rFonts w:hint="default" w:ascii="Times New Roman" w:hAnsi="Times New Roman" w:eastAsia="宋体" w:cs="Times New Roman"/>
                <w:color w:val="auto"/>
                <w:kern w:val="0"/>
                <w:sz w:val="24"/>
                <w:highlight w:val="none"/>
              </w:rPr>
              <w:t>该设备年最大生产量为</w:t>
            </w:r>
            <w:r>
              <w:rPr>
                <w:rFonts w:hint="eastAsia" w:ascii="Times New Roman" w:hAnsi="Times New Roman" w:eastAsia="宋体" w:cs="Times New Roman"/>
                <w:color w:val="auto"/>
                <w:kern w:val="0"/>
                <w:sz w:val="24"/>
                <w:highlight w:val="none"/>
                <w:lang w:val="en-US" w:eastAsia="zh-CN"/>
              </w:rPr>
              <w:t>90</w:t>
            </w:r>
            <w:r>
              <w:rPr>
                <w:rFonts w:hint="default"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300</w:t>
            </w:r>
            <w:r>
              <w:rPr>
                <w:rFonts w:hint="default"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8</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10000=</w:t>
            </w:r>
            <w:r>
              <w:rPr>
                <w:rFonts w:hint="eastAsia" w:ascii="Times New Roman" w:hAnsi="Times New Roman" w:eastAsia="宋体" w:cs="Times New Roman"/>
                <w:color w:val="auto"/>
                <w:kern w:val="0"/>
                <w:sz w:val="24"/>
                <w:highlight w:val="none"/>
                <w:lang w:val="en-US" w:eastAsia="zh-CN"/>
              </w:rPr>
              <w:t>21.6</w:t>
            </w:r>
            <w:r>
              <w:rPr>
                <w:rFonts w:hint="default" w:ascii="Times New Roman" w:hAnsi="Times New Roman" w:eastAsia="宋体" w:cs="Times New Roman"/>
                <w:color w:val="auto"/>
                <w:kern w:val="0"/>
                <w:sz w:val="24"/>
                <w:highlight w:val="none"/>
              </w:rPr>
              <w:t>万</w:t>
            </w:r>
            <w:r>
              <w:rPr>
                <w:rFonts w:hint="eastAsia" w:ascii="Times New Roman" w:hAnsi="Times New Roman" w:eastAsia="宋体" w:cs="Times New Roman"/>
                <w:color w:val="auto"/>
                <w:kern w:val="0"/>
                <w:sz w:val="24"/>
                <w:highlight w:val="none"/>
                <w:lang w:val="en-US" w:eastAsia="zh-CN"/>
              </w:rPr>
              <w:t>t</w:t>
            </w:r>
            <w:r>
              <w:rPr>
                <w:rFonts w:hint="default"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17</w:t>
            </w:r>
            <w:r>
              <w:rPr>
                <w:rFonts w:hint="default" w:ascii="Times New Roman" w:hAnsi="Times New Roman" w:eastAsia="宋体" w:cs="Times New Roman"/>
                <w:color w:val="auto"/>
                <w:kern w:val="0"/>
                <w:sz w:val="24"/>
                <w:highlight w:val="none"/>
              </w:rPr>
              <w:t>万</w:t>
            </w:r>
            <w:r>
              <w:rPr>
                <w:rFonts w:hint="eastAsia" w:ascii="Times New Roman" w:hAnsi="Times New Roman" w:eastAsia="宋体" w:cs="Times New Roman"/>
                <w:color w:val="auto"/>
                <w:kern w:val="0"/>
                <w:sz w:val="24"/>
                <w:highlight w:val="none"/>
                <w:lang w:val="en-US" w:eastAsia="zh-CN"/>
              </w:rPr>
              <w:t>t</w:t>
            </w:r>
            <w:r>
              <w:rPr>
                <w:rFonts w:hint="default" w:ascii="Times New Roman" w:hAnsi="Times New Roman" w:eastAsia="宋体" w:cs="Times New Roman"/>
                <w:color w:val="auto"/>
                <w:kern w:val="0"/>
                <w:sz w:val="24"/>
                <w:highlight w:val="none"/>
              </w:rPr>
              <w:t>，满足本项目生产需求。</w:t>
            </w:r>
          </w:p>
          <w:p>
            <w:pPr>
              <w:adjustRightInd w:val="0"/>
              <w:snapToGrid w:val="0"/>
              <w:spacing w:line="360" w:lineRule="auto"/>
              <w:ind w:firstLine="482" w:firstLineChars="200"/>
              <w:rPr>
                <w:rFonts w:hint="default"/>
                <w:color w:val="auto"/>
                <w:sz w:val="24"/>
                <w:highlight w:val="none"/>
                <w:lang w:val="en-US" w:eastAsia="zh-CN"/>
              </w:rPr>
            </w:pPr>
            <w:r>
              <w:rPr>
                <w:rFonts w:hint="eastAsia"/>
                <w:b/>
                <w:bCs/>
                <w:color w:val="auto"/>
                <w:sz w:val="24"/>
                <w:highlight w:val="none"/>
                <w:lang w:eastAsia="zh-CN"/>
              </w:rPr>
              <w:t>存能力核算：</w:t>
            </w:r>
            <w:r>
              <w:rPr>
                <w:rFonts w:hint="eastAsia"/>
                <w:color w:val="auto"/>
                <w:sz w:val="24"/>
                <w:highlight w:val="none"/>
              </w:rPr>
              <w:t>本项目</w:t>
            </w:r>
            <w:r>
              <w:rPr>
                <w:rFonts w:hint="eastAsia"/>
                <w:color w:val="auto"/>
                <w:sz w:val="24"/>
                <w:highlight w:val="none"/>
                <w:lang w:val="en-US" w:eastAsia="zh-CN"/>
              </w:rPr>
              <w:t>原料库、成品库均采用全封闭厂房，储存能力为5000t，可储存约8.5d的储存，满足生产周期转运需求。</w:t>
            </w:r>
          </w:p>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7、总平面布置</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本项目场地面积</w:t>
            </w:r>
            <w:r>
              <w:rPr>
                <w:rFonts w:hint="eastAsia" w:cs="Times New Roman"/>
                <w:color w:val="auto"/>
                <w:sz w:val="24"/>
                <w:szCs w:val="32"/>
                <w:highlight w:val="none"/>
                <w:lang w:val="en-US" w:eastAsia="zh-CN"/>
              </w:rPr>
              <w:t>6.5</w:t>
            </w:r>
            <w:r>
              <w:rPr>
                <w:rFonts w:hint="default" w:ascii="Times New Roman" w:hAnsi="Times New Roman" w:cs="Times New Roman"/>
                <w:color w:val="auto"/>
                <w:sz w:val="24"/>
                <w:szCs w:val="32"/>
                <w:highlight w:val="none"/>
              </w:rPr>
              <w:t>亩</w:t>
            </w:r>
            <w:r>
              <w:rPr>
                <w:rFonts w:hint="eastAsia" w:ascii="Times New Roman" w:hAnsi="Times New Roman" w:cs="Times New Roman"/>
                <w:color w:val="auto"/>
                <w:sz w:val="24"/>
                <w:szCs w:val="32"/>
                <w:highlight w:val="none"/>
                <w:lang w:eastAsia="zh-CN"/>
              </w:rPr>
              <w:t>（</w:t>
            </w:r>
            <w:r>
              <w:rPr>
                <w:rFonts w:hint="eastAsia" w:cs="Times New Roman"/>
                <w:color w:val="auto"/>
                <w:sz w:val="24"/>
                <w:szCs w:val="32"/>
                <w:highlight w:val="none"/>
                <w:lang w:val="en-US" w:eastAsia="zh-CN"/>
              </w:rPr>
              <w:t>4333</w:t>
            </w:r>
            <w:r>
              <w:rPr>
                <w:rFonts w:hint="eastAsia" w:ascii="Times New Roman" w:hAnsi="Times New Roman" w:cs="Times New Roman"/>
                <w:color w:val="auto"/>
                <w:sz w:val="24"/>
                <w:szCs w:val="32"/>
                <w:highlight w:val="none"/>
                <w:lang w:val="en-US" w:eastAsia="zh-CN"/>
              </w:rPr>
              <w:t>m</w:t>
            </w:r>
            <w:r>
              <w:rPr>
                <w:rFonts w:hint="eastAsia" w:ascii="Times New Roman" w:hAnsi="Times New Roman" w:cs="Times New Roman"/>
                <w:color w:val="auto"/>
                <w:sz w:val="24"/>
                <w:szCs w:val="32"/>
                <w:highlight w:val="none"/>
                <w:vertAlign w:val="superscript"/>
                <w:lang w:val="en-US" w:eastAsia="zh-CN"/>
              </w:rPr>
              <w:t>2</w:t>
            </w:r>
            <w:r>
              <w:rPr>
                <w:rFonts w:hint="eastAsia" w:ascii="Times New Roman" w:hAnsi="Times New Roman" w:cs="Times New Roman"/>
                <w:color w:val="auto"/>
                <w:sz w:val="24"/>
                <w:szCs w:val="32"/>
                <w:highlight w:val="none"/>
                <w:lang w:eastAsia="zh-CN"/>
              </w:rPr>
              <w:t>）</w:t>
            </w:r>
            <w:r>
              <w:rPr>
                <w:rFonts w:hint="default" w:ascii="Times New Roman" w:hAnsi="Times New Roman" w:cs="Times New Roman"/>
                <w:color w:val="auto"/>
                <w:sz w:val="24"/>
                <w:highlight w:val="none"/>
              </w:rPr>
              <w:t>，包括原料库、生产车间、成品库和办公室等。其中原料库位于</w:t>
            </w:r>
            <w:r>
              <w:rPr>
                <w:rFonts w:hint="eastAsia" w:cs="Times New Roman"/>
                <w:color w:val="auto"/>
                <w:sz w:val="24"/>
                <w:highlight w:val="none"/>
                <w:lang w:eastAsia="zh-CN"/>
              </w:rPr>
              <w:t>场地</w:t>
            </w:r>
            <w:r>
              <w:rPr>
                <w:rFonts w:hint="default" w:ascii="Times New Roman" w:hAnsi="Times New Roman" w:cs="Times New Roman"/>
                <w:color w:val="auto"/>
                <w:sz w:val="24"/>
                <w:highlight w:val="none"/>
                <w:lang w:eastAsia="zh-CN"/>
              </w:rPr>
              <w:t>西</w:t>
            </w:r>
            <w:r>
              <w:rPr>
                <w:rFonts w:hint="default" w:ascii="Times New Roman" w:hAnsi="Times New Roman" w:cs="Times New Roman"/>
                <w:color w:val="auto"/>
                <w:sz w:val="24"/>
                <w:highlight w:val="none"/>
              </w:rPr>
              <w:t>侧；生产车间位于场地</w:t>
            </w:r>
            <w:r>
              <w:rPr>
                <w:rFonts w:hint="eastAsia" w:ascii="Times New Roman" w:hAnsi="Times New Roman" w:cs="Times New Roman"/>
                <w:color w:val="auto"/>
                <w:sz w:val="24"/>
                <w:highlight w:val="none"/>
                <w:lang w:eastAsia="zh-CN"/>
              </w:rPr>
              <w:t>北</w:t>
            </w:r>
            <w:r>
              <w:rPr>
                <w:rFonts w:hint="default" w:ascii="Times New Roman" w:hAnsi="Times New Roman" w:cs="Times New Roman"/>
                <w:color w:val="auto"/>
                <w:sz w:val="24"/>
                <w:highlight w:val="none"/>
              </w:rPr>
              <w:t>侧</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成品库位于场地</w:t>
            </w:r>
            <w:r>
              <w:rPr>
                <w:rFonts w:hint="eastAsia" w:cs="Times New Roman"/>
                <w:color w:val="auto"/>
                <w:sz w:val="24"/>
                <w:highlight w:val="none"/>
                <w:lang w:eastAsia="zh-CN"/>
              </w:rPr>
              <w:t>东</w:t>
            </w:r>
            <w:r>
              <w:rPr>
                <w:rFonts w:hint="default" w:ascii="Times New Roman" w:hAnsi="Times New Roman" w:cs="Times New Roman"/>
                <w:color w:val="auto"/>
                <w:sz w:val="24"/>
                <w:highlight w:val="none"/>
              </w:rPr>
              <w:t>侧，办公生活区位于厂区</w:t>
            </w:r>
            <w:r>
              <w:rPr>
                <w:rFonts w:hint="eastAsia" w:cs="Times New Roman"/>
                <w:color w:val="auto"/>
                <w:sz w:val="24"/>
                <w:highlight w:val="none"/>
                <w:lang w:eastAsia="zh-CN"/>
              </w:rPr>
              <w:t>南</w:t>
            </w:r>
            <w:r>
              <w:rPr>
                <w:rFonts w:hint="default" w:ascii="Times New Roman" w:hAnsi="Times New Roman" w:cs="Times New Roman"/>
                <w:color w:val="auto"/>
                <w:sz w:val="24"/>
                <w:highlight w:val="none"/>
              </w:rPr>
              <w:t>侧；主出入口位于厂区</w:t>
            </w:r>
            <w:r>
              <w:rPr>
                <w:rFonts w:hint="eastAsia" w:cs="Times New Roman"/>
                <w:color w:val="auto"/>
                <w:sz w:val="24"/>
                <w:highlight w:val="none"/>
                <w:lang w:val="en-US" w:eastAsia="zh-CN"/>
              </w:rPr>
              <w:t>南</w:t>
            </w:r>
            <w:r>
              <w:rPr>
                <w:rFonts w:hint="default" w:ascii="Times New Roman" w:hAnsi="Times New Roman" w:cs="Times New Roman"/>
                <w:color w:val="auto"/>
                <w:sz w:val="24"/>
                <w:highlight w:val="none"/>
              </w:rPr>
              <w:t>侧，配套设置洗车平台、</w:t>
            </w:r>
            <w:r>
              <w:rPr>
                <w:rFonts w:hint="default" w:ascii="Times New Roman" w:hAnsi="Times New Roman" w:cs="Times New Roman"/>
                <w:color w:val="auto"/>
                <w:sz w:val="24"/>
                <w:highlight w:val="none"/>
                <w:lang w:eastAsia="zh-CN"/>
              </w:rPr>
              <w:t>磅房</w:t>
            </w:r>
            <w:r>
              <w:rPr>
                <w:rFonts w:hint="default" w:ascii="Times New Roman" w:hAnsi="Times New Roman" w:cs="Times New Roman"/>
                <w:color w:val="auto"/>
                <w:sz w:val="24"/>
                <w:highlight w:val="none"/>
              </w:rPr>
              <w:t>等。</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项目总平面布置图见附图2。</w:t>
            </w:r>
          </w:p>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8、生产制度和职工定员</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年工作日</w:t>
            </w:r>
            <w:r>
              <w:rPr>
                <w:rFonts w:hint="eastAsia" w:cs="Times New Roman"/>
                <w:color w:val="auto"/>
                <w:sz w:val="24"/>
                <w:highlight w:val="none"/>
                <w:lang w:val="en-US" w:eastAsia="zh-CN"/>
              </w:rPr>
              <w:t>30</w:t>
            </w:r>
            <w:r>
              <w:rPr>
                <w:rFonts w:hint="default" w:ascii="Times New Roman" w:hAnsi="Times New Roman" w:cs="Times New Roman"/>
                <w:color w:val="auto"/>
                <w:sz w:val="24"/>
                <w:highlight w:val="none"/>
              </w:rPr>
              <w:t>0天，每天工作8h。</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劳动定员</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rPr>
              <w:t>人，均为附近村民，不提供食宿。</w:t>
            </w:r>
          </w:p>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9、公用工程</w:t>
            </w:r>
          </w:p>
          <w:p>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9.1给排水</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（1）水源</w:t>
            </w:r>
          </w:p>
          <w:p>
            <w:pPr>
              <w:adjustRightInd w:val="0"/>
              <w:snapToGrid w:val="0"/>
              <w:spacing w:line="360" w:lineRule="auto"/>
              <w:ind w:firstLine="480" w:firstLineChars="200"/>
              <w:rPr>
                <w:rFonts w:hint="eastAsia" w:cs="Times New Roman"/>
                <w:color w:val="auto"/>
                <w:sz w:val="24"/>
                <w:highlight w:val="none"/>
                <w:lang w:val="en-US" w:eastAsia="zh-CN"/>
              </w:rPr>
            </w:pPr>
            <w:r>
              <w:rPr>
                <w:rFonts w:hint="default" w:ascii="Times New Roman" w:hAnsi="Times New Roman" w:cs="Times New Roman"/>
                <w:color w:val="auto"/>
                <w:sz w:val="24"/>
                <w:highlight w:val="none"/>
              </w:rPr>
              <w:t>本项目</w:t>
            </w:r>
            <w:r>
              <w:rPr>
                <w:rFonts w:hint="eastAsia" w:cs="Times New Roman"/>
                <w:color w:val="auto"/>
                <w:sz w:val="24"/>
                <w:highlight w:val="none"/>
                <w:lang w:val="en-US" w:eastAsia="zh-CN"/>
              </w:rPr>
              <w:t>水源包括生产用水和生活用水。</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生产用水水源为附近地表水体，采用罐车运输至厂内，严禁采用地下水；生活水源利用恒山洗选厂现有水井</w:t>
            </w:r>
            <w:r>
              <w:rPr>
                <w:rFonts w:hint="default" w:ascii="Times New Roman" w:hAnsi="Times New Roman" w:cs="Times New Roman"/>
                <w:color w:val="auto"/>
                <w:sz w:val="24"/>
                <w:highlight w:val="none"/>
              </w:rPr>
              <w:t>。</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（2）给水</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项目给水主要包括</w:t>
            </w:r>
            <w:r>
              <w:rPr>
                <w:rFonts w:hint="eastAsia" w:cs="Times New Roman"/>
                <w:bCs/>
                <w:color w:val="auto"/>
                <w:sz w:val="24"/>
                <w:highlight w:val="none"/>
                <w:lang w:val="en-US" w:eastAsia="zh-CN"/>
              </w:rPr>
              <w:t>制浆用水、设备及模具清洗用水、车辆</w:t>
            </w:r>
            <w:r>
              <w:rPr>
                <w:rFonts w:hint="default" w:ascii="Times New Roman" w:hAnsi="Times New Roman" w:cs="Times New Roman"/>
                <w:bCs/>
                <w:color w:val="auto"/>
                <w:sz w:val="24"/>
                <w:highlight w:val="none"/>
              </w:rPr>
              <w:t>清洗平台补充</w:t>
            </w:r>
            <w:r>
              <w:rPr>
                <w:rFonts w:hint="eastAsia" w:cs="Times New Roman"/>
                <w:bCs/>
                <w:color w:val="auto"/>
                <w:sz w:val="24"/>
                <w:highlight w:val="none"/>
                <w:lang w:val="en-US" w:eastAsia="zh-CN"/>
              </w:rPr>
              <w:t>用</w:t>
            </w:r>
            <w:r>
              <w:rPr>
                <w:rFonts w:hint="default" w:ascii="Times New Roman" w:hAnsi="Times New Roman" w:cs="Times New Roman"/>
                <w:bCs/>
                <w:color w:val="auto"/>
                <w:sz w:val="24"/>
                <w:highlight w:val="none"/>
              </w:rPr>
              <w:t>水、生活用水及绿化用水等。</w:t>
            </w:r>
          </w:p>
          <w:p>
            <w:pPr>
              <w:pStyle w:val="10"/>
              <w:spacing w:line="360" w:lineRule="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fldChar w:fldCharType="begin"/>
            </w:r>
            <w:r>
              <w:rPr>
                <w:rFonts w:hint="default" w:ascii="Times New Roman" w:hAnsi="Times New Roman" w:cs="Times New Roman"/>
                <w:color w:val="auto"/>
                <w:sz w:val="24"/>
                <w:szCs w:val="24"/>
                <w:highlight w:val="none"/>
                <w:lang w:val="en-US" w:eastAsia="zh-CN"/>
              </w:rPr>
              <w:instrText xml:space="preserve"> = 1 \* GB3 </w:instrText>
            </w:r>
            <w:r>
              <w:rPr>
                <w:rFonts w:hint="default" w:ascii="Times New Roman" w:hAnsi="Times New Roman" w:cs="Times New Roman"/>
                <w:color w:val="auto"/>
                <w:sz w:val="24"/>
                <w:szCs w:val="24"/>
                <w:highlight w:val="none"/>
                <w:lang w:val="en-US" w:eastAsia="zh-CN"/>
              </w:rPr>
              <w:fldChar w:fldCharType="separate"/>
            </w:r>
            <w:r>
              <w:rPr>
                <w:rFonts w:hint="default" w:ascii="Times New Roman" w:hAnsi="Times New Roman" w:cs="Times New Roman"/>
                <w:color w:val="auto"/>
                <w:sz w:val="24"/>
                <w:szCs w:val="24"/>
                <w:highlight w:val="none"/>
                <w:lang w:val="en-US" w:eastAsia="zh-CN"/>
              </w:rPr>
              <w:t>①</w:t>
            </w:r>
            <w:r>
              <w:rPr>
                <w:rFonts w:hint="default" w:ascii="Times New Roman" w:hAnsi="Times New Roman" w:cs="Times New Roman"/>
                <w:color w:val="auto"/>
                <w:sz w:val="24"/>
                <w:szCs w:val="24"/>
                <w:highlight w:val="none"/>
                <w:lang w:val="en-US" w:eastAsia="zh-CN"/>
              </w:rPr>
              <w:fldChar w:fldCharType="end"/>
            </w:r>
            <w:r>
              <w:rPr>
                <w:rFonts w:hint="eastAsia" w:cs="Times New Roman"/>
                <w:color w:val="auto"/>
                <w:sz w:val="24"/>
                <w:szCs w:val="24"/>
                <w:highlight w:val="none"/>
                <w:lang w:val="en-US" w:eastAsia="zh-CN"/>
              </w:rPr>
              <w:t>制浆</w:t>
            </w:r>
            <w:r>
              <w:rPr>
                <w:rFonts w:hint="default" w:ascii="Times New Roman" w:hAnsi="Times New Roman" w:cs="Times New Roman"/>
                <w:color w:val="auto"/>
                <w:sz w:val="24"/>
                <w:szCs w:val="24"/>
                <w:highlight w:val="none"/>
                <w:lang w:val="en-US" w:eastAsia="zh-CN"/>
              </w:rPr>
              <w:t>用水</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highlight w:val="none"/>
              </w:rPr>
              <w:t>本项目</w:t>
            </w:r>
            <w:r>
              <w:rPr>
                <w:rFonts w:hint="eastAsia" w:cs="Times New Roman"/>
                <w:bCs/>
                <w:color w:val="auto"/>
                <w:sz w:val="24"/>
                <w:highlight w:val="none"/>
                <w:lang w:val="en-US" w:eastAsia="zh-CN"/>
              </w:rPr>
              <w:t>制浆过程中会加入定量的水，用水量为石膏粉：水=10:3，石膏粉年用量170000t，则制浆用水量为51000m</w:t>
            </w:r>
            <w:r>
              <w:rPr>
                <w:rFonts w:hint="eastAsia" w:cs="Times New Roman"/>
                <w:bCs/>
                <w:color w:val="auto"/>
                <w:sz w:val="24"/>
                <w:highlight w:val="none"/>
                <w:vertAlign w:val="superscript"/>
                <w:lang w:val="en-US" w:eastAsia="zh-CN"/>
              </w:rPr>
              <w:t>3</w:t>
            </w:r>
            <w:r>
              <w:rPr>
                <w:rFonts w:hint="eastAsia" w:cs="Times New Roman"/>
                <w:bCs/>
                <w:color w:val="auto"/>
                <w:sz w:val="24"/>
                <w:highlight w:val="none"/>
                <w:lang w:val="en-US" w:eastAsia="zh-CN"/>
              </w:rPr>
              <w:t>/a（170m</w:t>
            </w:r>
            <w:r>
              <w:rPr>
                <w:rFonts w:hint="eastAsia" w:cs="Times New Roman"/>
                <w:bCs/>
                <w:color w:val="auto"/>
                <w:sz w:val="24"/>
                <w:highlight w:val="none"/>
                <w:vertAlign w:val="superscript"/>
                <w:lang w:val="en-US" w:eastAsia="zh-CN"/>
              </w:rPr>
              <w:t>3</w:t>
            </w:r>
            <w:r>
              <w:rPr>
                <w:rFonts w:hint="eastAsia" w:cs="Times New Roman"/>
                <w:bCs/>
                <w:color w:val="auto"/>
                <w:sz w:val="24"/>
                <w:highlight w:val="none"/>
                <w:lang w:val="en-US" w:eastAsia="zh-CN"/>
              </w:rPr>
              <w:t>/d）</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fldChar w:fldCharType="begin"/>
            </w:r>
            <w:r>
              <w:rPr>
                <w:rFonts w:hint="default" w:ascii="Times New Roman" w:hAnsi="Times New Roman" w:cs="Times New Roman"/>
                <w:bCs/>
                <w:color w:val="auto"/>
                <w:sz w:val="24"/>
                <w:highlight w:val="none"/>
              </w:rPr>
              <w:instrText xml:space="preserve"> = 2 \* GB3 </w:instrText>
            </w:r>
            <w:r>
              <w:rPr>
                <w:rFonts w:hint="default" w:ascii="Times New Roman" w:hAnsi="Times New Roman" w:cs="Times New Roman"/>
                <w:bCs/>
                <w:color w:val="auto"/>
                <w:sz w:val="24"/>
                <w:highlight w:val="none"/>
              </w:rPr>
              <w:fldChar w:fldCharType="separate"/>
            </w:r>
            <w:r>
              <w:rPr>
                <w:rFonts w:hint="default" w:ascii="Times New Roman" w:hAnsi="Times New Roman" w:cs="Times New Roman"/>
                <w:bCs/>
                <w:color w:val="auto"/>
                <w:sz w:val="24"/>
                <w:highlight w:val="none"/>
              </w:rPr>
              <w:t>②</w:t>
            </w:r>
            <w:r>
              <w:rPr>
                <w:rFonts w:hint="default" w:ascii="Times New Roman" w:hAnsi="Times New Roman" w:cs="Times New Roman"/>
                <w:bCs/>
                <w:color w:val="auto"/>
                <w:sz w:val="24"/>
                <w:highlight w:val="none"/>
              </w:rPr>
              <w:fldChar w:fldCharType="end"/>
            </w:r>
            <w:r>
              <w:rPr>
                <w:rFonts w:hint="eastAsia" w:cs="Times New Roman"/>
                <w:bCs/>
                <w:color w:val="auto"/>
                <w:sz w:val="24"/>
                <w:highlight w:val="none"/>
                <w:lang w:val="en-US" w:eastAsia="zh-CN"/>
              </w:rPr>
              <w:t>设备及模具清洗</w:t>
            </w:r>
            <w:r>
              <w:rPr>
                <w:rFonts w:hint="default" w:ascii="Times New Roman" w:hAnsi="Times New Roman" w:cs="Times New Roman"/>
                <w:bCs/>
                <w:color w:val="auto"/>
                <w:sz w:val="24"/>
                <w:highlight w:val="none"/>
              </w:rPr>
              <w:t>用水</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highlight w:val="none"/>
              </w:rPr>
              <w:t>本项目</w:t>
            </w:r>
            <w:r>
              <w:rPr>
                <w:rFonts w:hint="eastAsia" w:cs="Times New Roman"/>
                <w:bCs/>
                <w:color w:val="auto"/>
                <w:sz w:val="24"/>
                <w:highlight w:val="none"/>
                <w:lang w:val="en-US" w:eastAsia="zh-CN"/>
              </w:rPr>
              <w:t>设备及模具需及时清洗，类比同类型项目，清洗用水量约2m</w:t>
            </w:r>
            <w:r>
              <w:rPr>
                <w:rFonts w:hint="eastAsia" w:cs="Times New Roman"/>
                <w:bCs/>
                <w:color w:val="auto"/>
                <w:sz w:val="24"/>
                <w:highlight w:val="none"/>
                <w:vertAlign w:val="superscript"/>
                <w:lang w:val="en-US" w:eastAsia="zh-CN"/>
              </w:rPr>
              <w:t>3</w:t>
            </w:r>
            <w:r>
              <w:rPr>
                <w:rFonts w:hint="eastAsia" w:cs="Times New Roman"/>
                <w:bCs/>
                <w:color w:val="auto"/>
                <w:sz w:val="24"/>
                <w:highlight w:val="none"/>
                <w:lang w:val="en-US" w:eastAsia="zh-CN"/>
              </w:rPr>
              <w:t>/d。</w:t>
            </w:r>
          </w:p>
          <w:p>
            <w:pPr>
              <w:autoSpaceDE w:val="0"/>
              <w:autoSpaceDN w:val="0"/>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fldChar w:fldCharType="begin"/>
            </w:r>
            <w:r>
              <w:rPr>
                <w:rFonts w:hint="default" w:ascii="Times New Roman" w:hAnsi="Times New Roman" w:cs="Times New Roman"/>
                <w:bCs/>
                <w:color w:val="auto"/>
                <w:sz w:val="24"/>
                <w:highlight w:val="none"/>
              </w:rPr>
              <w:instrText xml:space="preserve"> = 3 \* GB3 </w:instrText>
            </w:r>
            <w:r>
              <w:rPr>
                <w:rFonts w:hint="default" w:ascii="Times New Roman" w:hAnsi="Times New Roman" w:cs="Times New Roman"/>
                <w:bCs/>
                <w:color w:val="auto"/>
                <w:sz w:val="24"/>
                <w:highlight w:val="none"/>
              </w:rPr>
              <w:fldChar w:fldCharType="separate"/>
            </w:r>
            <w:r>
              <w:rPr>
                <w:rFonts w:hint="default" w:ascii="Times New Roman" w:hAnsi="Times New Roman" w:cs="Times New Roman"/>
                <w:bCs/>
                <w:color w:val="auto"/>
                <w:sz w:val="24"/>
                <w:highlight w:val="none"/>
              </w:rPr>
              <w:t>③</w:t>
            </w:r>
            <w:r>
              <w:rPr>
                <w:rFonts w:hint="default" w:ascii="Times New Roman" w:hAnsi="Times New Roman" w:cs="Times New Roman"/>
                <w:bCs/>
                <w:color w:val="auto"/>
                <w:sz w:val="24"/>
                <w:highlight w:val="none"/>
              </w:rPr>
              <w:fldChar w:fldCharType="end"/>
            </w:r>
            <w:r>
              <w:rPr>
                <w:rFonts w:hint="default" w:ascii="Times New Roman" w:hAnsi="Times New Roman" w:cs="Times New Roman"/>
                <w:bCs/>
                <w:color w:val="auto"/>
                <w:sz w:val="24"/>
                <w:highlight w:val="none"/>
              </w:rPr>
              <w:t>洗车平台补充水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color w:val="auto"/>
                <w:sz w:val="24"/>
                <w:szCs w:val="24"/>
                <w:highlight w:val="none"/>
              </w:rPr>
            </w:pPr>
            <w:r>
              <w:rPr>
                <w:rFonts w:hint="default" w:ascii="Times New Roman" w:hAnsi="Times New Roman" w:cs="Times New Roman"/>
                <w:bCs/>
                <w:color w:val="auto"/>
                <w:sz w:val="24"/>
                <w:highlight w:val="none"/>
              </w:rPr>
              <w:t>本项目在出</w:t>
            </w:r>
            <w:r>
              <w:rPr>
                <w:rFonts w:hint="eastAsia" w:cs="Times New Roman"/>
                <w:bCs/>
                <w:color w:val="auto"/>
                <w:sz w:val="24"/>
                <w:highlight w:val="none"/>
                <w:lang w:val="en-US" w:eastAsia="zh-CN"/>
              </w:rPr>
              <w:t>入</w:t>
            </w:r>
            <w:r>
              <w:rPr>
                <w:rFonts w:hint="default" w:ascii="Times New Roman" w:hAnsi="Times New Roman" w:cs="Times New Roman"/>
                <w:bCs/>
                <w:color w:val="auto"/>
                <w:sz w:val="24"/>
                <w:highlight w:val="none"/>
              </w:rPr>
              <w:t>口处设置洗车平台一个，用于清洗出厂运输车辆车身及轮胎泥沙，运输车辆载重按</w:t>
            </w:r>
            <w:r>
              <w:rPr>
                <w:rFonts w:hint="eastAsia" w:cs="Times New Roman"/>
                <w:bCs/>
                <w:color w:val="auto"/>
                <w:sz w:val="24"/>
                <w:highlight w:val="none"/>
                <w:lang w:val="en-US" w:eastAsia="zh-CN"/>
              </w:rPr>
              <w:t>20</w:t>
            </w:r>
            <w:r>
              <w:rPr>
                <w:rFonts w:hint="default" w:ascii="Times New Roman" w:hAnsi="Times New Roman" w:cs="Times New Roman"/>
                <w:bCs/>
                <w:color w:val="auto"/>
                <w:sz w:val="24"/>
                <w:highlight w:val="none"/>
              </w:rPr>
              <w:t>t计，本项目年运输量</w:t>
            </w:r>
            <w:r>
              <w:rPr>
                <w:rFonts w:hint="eastAsia" w:cs="Times New Roman"/>
                <w:bCs/>
                <w:color w:val="auto"/>
                <w:sz w:val="24"/>
                <w:highlight w:val="none"/>
                <w:lang w:eastAsia="zh-CN"/>
              </w:rPr>
              <w:t>约</w:t>
            </w:r>
            <w:r>
              <w:rPr>
                <w:rFonts w:hint="eastAsia" w:cs="Times New Roman"/>
                <w:bCs/>
                <w:color w:val="auto"/>
                <w:sz w:val="24"/>
                <w:highlight w:val="none"/>
                <w:lang w:val="en-US" w:eastAsia="zh-CN"/>
              </w:rPr>
              <w:t>35</w:t>
            </w:r>
            <w:r>
              <w:rPr>
                <w:rFonts w:hint="default" w:ascii="Times New Roman" w:hAnsi="Times New Roman" w:cs="Times New Roman"/>
                <w:bCs/>
                <w:color w:val="auto"/>
                <w:sz w:val="24"/>
                <w:highlight w:val="none"/>
              </w:rPr>
              <w:t>万吨，平均</w:t>
            </w:r>
            <w:r>
              <w:rPr>
                <w:rFonts w:hint="eastAsia" w:cs="Times New Roman"/>
                <w:bCs/>
                <w:color w:val="auto"/>
                <w:sz w:val="24"/>
                <w:highlight w:val="none"/>
                <w:lang w:val="en-US" w:eastAsia="zh-CN"/>
              </w:rPr>
              <w:t>55</w:t>
            </w:r>
            <w:r>
              <w:rPr>
                <w:rFonts w:hint="default" w:ascii="Times New Roman" w:hAnsi="Times New Roman" w:cs="Times New Roman"/>
                <w:bCs/>
                <w:color w:val="auto"/>
                <w:sz w:val="24"/>
                <w:highlight w:val="none"/>
              </w:rPr>
              <w:t>辆/d。</w:t>
            </w:r>
            <w:r>
              <w:rPr>
                <w:rFonts w:hint="eastAsia" w:cs="Times New Roman"/>
                <w:bCs/>
                <w:color w:val="auto"/>
                <w:sz w:val="24"/>
                <w:highlight w:val="none"/>
                <w:lang w:val="en-US" w:eastAsia="zh-CN"/>
              </w:rPr>
              <w:t>根据</w:t>
            </w:r>
            <w:r>
              <w:rPr>
                <w:rFonts w:hint="default" w:ascii="Times New Roman" w:hAnsi="Times New Roman" w:cs="Times New Roman"/>
                <w:color w:val="auto"/>
                <w:sz w:val="24"/>
                <w:szCs w:val="24"/>
                <w:highlight w:val="none"/>
                <w:lang w:val="en-US" w:eastAsia="zh-CN"/>
              </w:rPr>
              <w:t>《山西省用水定额》（DB14/T1049.3-2021）中“表1</w:t>
            </w:r>
            <w:r>
              <w:rPr>
                <w:rFonts w:hint="eastAsia" w:ascii="Times New Roman" w:hAnsi="Times New Roman" w:cs="Times New Roman"/>
                <w:color w:val="auto"/>
                <w:sz w:val="24"/>
                <w:szCs w:val="24"/>
                <w:highlight w:val="none"/>
                <w:lang w:val="en-US" w:eastAsia="zh-CN"/>
              </w:rPr>
              <w:t>5汽车冲洗</w:t>
            </w:r>
            <w:r>
              <w:rPr>
                <w:rFonts w:hint="default" w:ascii="Times New Roman" w:hAnsi="Times New Roman" w:cs="Times New Roman"/>
                <w:color w:val="auto"/>
                <w:sz w:val="24"/>
                <w:szCs w:val="24"/>
                <w:highlight w:val="none"/>
                <w:lang w:val="en-US" w:eastAsia="zh-CN"/>
              </w:rPr>
              <w:t>用水定额”规定，</w:t>
            </w:r>
            <w:r>
              <w:rPr>
                <w:rFonts w:hint="eastAsia" w:ascii="Times New Roman" w:hAnsi="Times New Roman" w:cs="Times New Roman"/>
                <w:color w:val="auto"/>
                <w:sz w:val="24"/>
                <w:szCs w:val="24"/>
                <w:highlight w:val="none"/>
                <w:lang w:val="en-US" w:eastAsia="zh-CN"/>
              </w:rPr>
              <w:t>公共汽车、载重汽车</w:t>
            </w:r>
            <w:r>
              <w:rPr>
                <w:rFonts w:hint="default" w:ascii="Times New Roman" w:hAnsi="Times New Roman" w:cs="Times New Roman"/>
                <w:color w:val="auto"/>
                <w:sz w:val="24"/>
                <w:szCs w:val="24"/>
                <w:highlight w:val="none"/>
                <w:lang w:val="en-US" w:eastAsia="zh-CN"/>
              </w:rPr>
              <w:t>用水定额为</w:t>
            </w:r>
            <w:r>
              <w:rPr>
                <w:rFonts w:hint="eastAsia" w:ascii="Times New Roman" w:hAnsi="Times New Roman" w:cs="Times New Roman"/>
                <w:color w:val="auto"/>
                <w:sz w:val="24"/>
                <w:szCs w:val="24"/>
                <w:highlight w:val="none"/>
                <w:lang w:val="en-US" w:eastAsia="zh-CN"/>
              </w:rPr>
              <w:t>40</w:t>
            </w:r>
            <w:r>
              <w:rPr>
                <w:rFonts w:hint="default" w:ascii="Times New Roman" w:hAnsi="Times New Roman" w:cs="Times New Roman"/>
                <w:color w:val="auto"/>
                <w:sz w:val="24"/>
                <w:szCs w:val="24"/>
                <w:highlight w:val="none"/>
                <w:lang w:val="en-US" w:eastAsia="zh-CN"/>
              </w:rPr>
              <w:t>L/</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辆</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次）</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项目洗车</w:t>
            </w:r>
            <w:r>
              <w:rPr>
                <w:rFonts w:ascii="Times New Roman" w:hAnsi="Times New Roman" w:cs="Times New Roman"/>
                <w:color w:val="auto"/>
                <w:sz w:val="24"/>
                <w:szCs w:val="24"/>
                <w:highlight w:val="none"/>
              </w:rPr>
              <w:t>耗水量</w:t>
            </w:r>
            <w:r>
              <w:rPr>
                <w:rFonts w:hint="eastAsia" w:cs="Times New Roman"/>
                <w:color w:val="auto"/>
                <w:sz w:val="24"/>
                <w:szCs w:val="24"/>
                <w:highlight w:val="none"/>
                <w:lang w:val="en-US" w:eastAsia="zh-CN"/>
              </w:rPr>
              <w:t>2.2</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/d。本项目洗车平台配套设置循环沉淀池，容积为</w:t>
            </w:r>
            <w:r>
              <w:rPr>
                <w:rFonts w:hint="eastAsia" w:cs="Times New Roman"/>
                <w:color w:val="auto"/>
                <w:sz w:val="24"/>
                <w:szCs w:val="24"/>
                <w:highlight w:val="none"/>
                <w:lang w:val="en-US" w:eastAsia="zh-CN"/>
              </w:rPr>
              <w:t>10</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，经沉淀池沉淀后</w:t>
            </w:r>
            <w:r>
              <w:rPr>
                <w:rFonts w:hint="eastAsia" w:cs="Times New Roman"/>
                <w:color w:val="auto"/>
                <w:sz w:val="24"/>
                <w:szCs w:val="24"/>
                <w:highlight w:val="none"/>
                <w:lang w:val="en-US" w:eastAsia="zh-CN"/>
              </w:rPr>
              <w:t>循环使用</w:t>
            </w:r>
            <w:r>
              <w:rPr>
                <w:rFonts w:ascii="Times New Roman" w:hAnsi="Times New Roman" w:cs="Times New Roman"/>
                <w:color w:val="auto"/>
                <w:sz w:val="24"/>
                <w:szCs w:val="24"/>
                <w:highlight w:val="none"/>
              </w:rPr>
              <w:t>，不外排。</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cs="Times New Roman"/>
                <w:bCs/>
                <w:color w:val="auto"/>
                <w:sz w:val="24"/>
                <w:highlight w:val="none"/>
                <w:lang w:val="en-US" w:eastAsia="zh-CN"/>
              </w:rPr>
              <w:t>④</w:t>
            </w:r>
            <w:r>
              <w:rPr>
                <w:rFonts w:hint="default" w:ascii="Times New Roman" w:hAnsi="Times New Roman" w:cs="Times New Roman"/>
                <w:color w:val="auto"/>
                <w:sz w:val="24"/>
                <w:highlight w:val="none"/>
              </w:rPr>
              <w:t>绿化用水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color w:val="auto"/>
                <w:sz w:val="24"/>
                <w:szCs w:val="24"/>
                <w:highlight w:val="none"/>
              </w:rPr>
            </w:pPr>
            <w:r>
              <w:rPr>
                <w:rFonts w:hint="default" w:ascii="Times New Roman" w:hAnsi="Times New Roman" w:cs="Times New Roman"/>
                <w:bCs/>
                <w:color w:val="auto"/>
                <w:sz w:val="24"/>
                <w:highlight w:val="none"/>
              </w:rPr>
              <w:t>根据</w:t>
            </w:r>
            <w:r>
              <w:rPr>
                <w:rFonts w:hint="default" w:ascii="Times New Roman" w:hAnsi="Times New Roman" w:cs="Times New Roman"/>
                <w:color w:val="auto"/>
                <w:sz w:val="24"/>
                <w:szCs w:val="24"/>
                <w:highlight w:val="none"/>
                <w:lang w:val="en-US" w:eastAsia="zh-CN"/>
              </w:rPr>
              <w:t>《山西省用水定额》（DB14/T1049.3-2021）中“表11浇洒草坪、绿化用水定额”规定，绿化用水定额为1.5L/(m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，洒水天数按</w:t>
            </w:r>
            <w:r>
              <w:rPr>
                <w:rFonts w:hint="eastAsia" w:ascii="Times New Roman" w:hAnsi="Times New Roman" w:cs="Times New Roman"/>
                <w:color w:val="auto"/>
                <w:sz w:val="24"/>
                <w:szCs w:val="24"/>
                <w:highlight w:val="none"/>
                <w:lang w:val="en-US" w:eastAsia="zh-CN"/>
              </w:rPr>
              <w:t>240</w:t>
            </w:r>
            <w:r>
              <w:rPr>
                <w:rFonts w:hint="default" w:ascii="Times New Roman" w:hAnsi="Times New Roman" w:cs="Times New Roman"/>
                <w:color w:val="auto"/>
                <w:sz w:val="24"/>
                <w:szCs w:val="24"/>
                <w:highlight w:val="none"/>
                <w:lang w:val="en-US" w:eastAsia="zh-CN"/>
              </w:rPr>
              <w:t>天计算，每天1次计算，</w:t>
            </w:r>
            <w:r>
              <w:rPr>
                <w:rFonts w:hint="default" w:ascii="Times New Roman" w:hAnsi="Times New Roman" w:cs="Times New Roman"/>
                <w:color w:val="auto"/>
                <w:sz w:val="24"/>
                <w:highlight w:val="none"/>
              </w:rPr>
              <w:t>绿化面积约</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00m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24"/>
                <w:highlight w:val="none"/>
                <w:lang w:val="en-US" w:eastAsia="zh-CN"/>
              </w:rPr>
              <w:t>用水量为</w:t>
            </w: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75</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ascii="Times New Roman" w:hAnsi="Times New Roman" w:cs="Times New Roman"/>
                <w:color w:val="auto"/>
                <w:sz w:val="24"/>
                <w:szCs w:val="24"/>
                <w:highlight w:val="none"/>
                <w:lang w:val="en-US" w:eastAsia="zh-CN"/>
              </w:rPr>
              <w:t>，</w:t>
            </w:r>
            <w:r>
              <w:rPr>
                <w:rFonts w:hint="eastAsia" w:cs="Times New Roman"/>
                <w:bCs/>
                <w:color w:val="auto"/>
                <w:sz w:val="24"/>
                <w:szCs w:val="24"/>
                <w:highlight w:val="none"/>
                <w:lang w:val="en-US" w:eastAsia="zh-CN"/>
              </w:rPr>
              <w:t>180</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eastAsia" w:cs="Times New Roman"/>
                <w:bCs/>
                <w:color w:val="auto"/>
                <w:sz w:val="24"/>
                <w:highlight w:val="none"/>
                <w:lang w:val="en-US" w:eastAsia="zh-CN"/>
              </w:rPr>
              <w:t>⑤</w:t>
            </w:r>
            <w:r>
              <w:rPr>
                <w:rFonts w:hint="default" w:ascii="Times New Roman" w:hAnsi="Times New Roman" w:cs="Times New Roman"/>
                <w:bCs/>
                <w:color w:val="auto"/>
                <w:sz w:val="24"/>
                <w:highlight w:val="none"/>
              </w:rPr>
              <w:t>生活用水</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根据《山西省用水定额》，员工日常生活用水按每人30L/d计算，项目劳动定员</w:t>
            </w:r>
            <w:r>
              <w:rPr>
                <w:rFonts w:hint="eastAsia" w:cs="Times New Roman"/>
                <w:bCs/>
                <w:color w:val="auto"/>
                <w:sz w:val="24"/>
                <w:highlight w:val="none"/>
                <w:lang w:val="en-US" w:eastAsia="zh-CN"/>
              </w:rPr>
              <w:t>10</w:t>
            </w:r>
            <w:r>
              <w:rPr>
                <w:rFonts w:hint="default" w:ascii="Times New Roman" w:hAnsi="Times New Roman" w:cs="Times New Roman"/>
                <w:bCs/>
                <w:color w:val="auto"/>
                <w:sz w:val="24"/>
                <w:highlight w:val="none"/>
              </w:rPr>
              <w:t>人，用水量0.</w:t>
            </w:r>
            <w:r>
              <w:rPr>
                <w:rFonts w:hint="eastAsia" w:cs="Times New Roman"/>
                <w:bCs/>
                <w:color w:val="auto"/>
                <w:sz w:val="24"/>
                <w:highlight w:val="none"/>
                <w:lang w:val="en-US" w:eastAsia="zh-CN"/>
              </w:rPr>
              <w:t>3</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bCs/>
                <w:color w:val="auto"/>
                <w:sz w:val="24"/>
                <w:highlight w:val="none"/>
              </w:rPr>
              <w:t>（</w:t>
            </w:r>
            <w:r>
              <w:rPr>
                <w:rFonts w:hint="eastAsia" w:cs="Times New Roman"/>
                <w:bCs/>
                <w:color w:val="auto"/>
                <w:sz w:val="24"/>
                <w:highlight w:val="none"/>
                <w:lang w:val="en-US" w:eastAsia="zh-CN"/>
              </w:rPr>
              <w:t>75</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w:t>
            </w:r>
            <w:r>
              <w:rPr>
                <w:rFonts w:hint="default" w:ascii="Times New Roman" w:hAnsi="Times New Roman" w:cs="Times New Roman"/>
                <w:color w:val="auto"/>
                <w:sz w:val="24"/>
                <w:highlight w:val="none"/>
              </w:rPr>
              <w:t>。</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（3）排水</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项目排水主要包括</w:t>
            </w:r>
            <w:r>
              <w:rPr>
                <w:rFonts w:hint="eastAsia" w:cs="Times New Roman"/>
                <w:bCs/>
                <w:color w:val="auto"/>
                <w:sz w:val="24"/>
                <w:highlight w:val="none"/>
                <w:lang w:val="en-US" w:eastAsia="zh-CN"/>
              </w:rPr>
              <w:t>设备及模具清洗</w:t>
            </w:r>
            <w:r>
              <w:rPr>
                <w:rFonts w:hint="default" w:ascii="Times New Roman" w:hAnsi="Times New Roman" w:cs="Times New Roman"/>
                <w:bCs/>
                <w:color w:val="auto"/>
                <w:sz w:val="24"/>
                <w:highlight w:val="none"/>
              </w:rPr>
              <w:t>废水、</w:t>
            </w:r>
            <w:r>
              <w:rPr>
                <w:rFonts w:hint="eastAsia" w:cs="Times New Roman"/>
                <w:bCs/>
                <w:color w:val="auto"/>
                <w:sz w:val="24"/>
                <w:highlight w:val="none"/>
                <w:lang w:val="en-US" w:eastAsia="zh-CN"/>
              </w:rPr>
              <w:t>洗车</w:t>
            </w:r>
            <w:r>
              <w:rPr>
                <w:rFonts w:hint="default" w:ascii="Times New Roman" w:hAnsi="Times New Roman" w:cs="Times New Roman"/>
                <w:bCs/>
                <w:color w:val="auto"/>
                <w:sz w:val="24"/>
                <w:highlight w:val="none"/>
              </w:rPr>
              <w:t>平台废水及生活污水等。</w:t>
            </w:r>
          </w:p>
          <w:p>
            <w:pPr>
              <w:pStyle w:val="35"/>
              <w:adjustRightInd w:val="0"/>
              <w:snapToGrid w:val="0"/>
              <w:spacing w:line="360" w:lineRule="auto"/>
              <w:ind w:firstLineChars="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fldChar w:fldCharType="begin"/>
            </w:r>
            <w:r>
              <w:rPr>
                <w:rFonts w:hint="default" w:ascii="Times New Roman" w:hAnsi="Times New Roman" w:cs="Times New Roman"/>
                <w:bCs/>
                <w:color w:val="auto"/>
                <w:sz w:val="24"/>
                <w:highlight w:val="none"/>
              </w:rPr>
              <w:instrText xml:space="preserve"> = 1 \* GB3 </w:instrText>
            </w:r>
            <w:r>
              <w:rPr>
                <w:rFonts w:hint="default" w:ascii="Times New Roman" w:hAnsi="Times New Roman" w:cs="Times New Roman"/>
                <w:bCs/>
                <w:color w:val="auto"/>
                <w:sz w:val="24"/>
                <w:highlight w:val="none"/>
              </w:rPr>
              <w:fldChar w:fldCharType="separate"/>
            </w:r>
            <w:r>
              <w:rPr>
                <w:rFonts w:hint="default" w:ascii="Times New Roman" w:hAnsi="Times New Roman" w:cs="Times New Roman"/>
                <w:bCs/>
                <w:color w:val="auto"/>
                <w:sz w:val="24"/>
                <w:highlight w:val="none"/>
              </w:rPr>
              <w:t>①</w:t>
            </w:r>
            <w:r>
              <w:rPr>
                <w:rFonts w:hint="default" w:ascii="Times New Roman" w:hAnsi="Times New Roman" w:cs="Times New Roman"/>
                <w:bCs/>
                <w:color w:val="auto"/>
                <w:sz w:val="24"/>
                <w:highlight w:val="none"/>
              </w:rPr>
              <w:fldChar w:fldCharType="end"/>
            </w:r>
            <w:r>
              <w:rPr>
                <w:rFonts w:hint="eastAsia" w:cs="Times New Roman"/>
                <w:bCs/>
                <w:color w:val="auto"/>
                <w:sz w:val="24"/>
                <w:highlight w:val="none"/>
                <w:lang w:val="en-US" w:eastAsia="zh-CN"/>
              </w:rPr>
              <w:t>设备及模具清洗</w:t>
            </w:r>
            <w:r>
              <w:rPr>
                <w:rFonts w:hint="default" w:ascii="Times New Roman" w:hAnsi="Times New Roman" w:cs="Times New Roman"/>
                <w:bCs/>
                <w:color w:val="auto"/>
                <w:sz w:val="24"/>
                <w:highlight w:val="none"/>
              </w:rPr>
              <w:t>废水</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highlight w:val="none"/>
              </w:rPr>
              <w:t>本项目</w:t>
            </w:r>
            <w:r>
              <w:rPr>
                <w:rFonts w:hint="eastAsia" w:cs="Times New Roman"/>
                <w:bCs/>
                <w:color w:val="auto"/>
                <w:sz w:val="24"/>
                <w:highlight w:val="none"/>
                <w:lang w:val="en-US" w:eastAsia="zh-CN"/>
              </w:rPr>
              <w:t>设备及模具清洗废水产生量按用水量的80%计，则废水量为1.6m</w:t>
            </w:r>
            <w:r>
              <w:rPr>
                <w:rFonts w:hint="eastAsia" w:cs="Times New Roman"/>
                <w:bCs/>
                <w:color w:val="auto"/>
                <w:sz w:val="24"/>
                <w:highlight w:val="none"/>
                <w:vertAlign w:val="superscript"/>
                <w:lang w:val="en-US" w:eastAsia="zh-CN"/>
              </w:rPr>
              <w:t>3</w:t>
            </w:r>
            <w:r>
              <w:rPr>
                <w:rFonts w:hint="eastAsia" w:cs="Times New Roman"/>
                <w:bCs/>
                <w:color w:val="auto"/>
                <w:sz w:val="24"/>
                <w:highlight w:val="none"/>
                <w:lang w:val="en-US" w:eastAsia="zh-CN"/>
              </w:rPr>
              <w:t>/d，配套1座10m</w:t>
            </w:r>
            <w:r>
              <w:rPr>
                <w:rFonts w:hint="eastAsia" w:cs="Times New Roman"/>
                <w:bCs/>
                <w:color w:val="auto"/>
                <w:sz w:val="24"/>
                <w:highlight w:val="none"/>
                <w:vertAlign w:val="superscript"/>
                <w:lang w:val="en-US" w:eastAsia="zh-CN"/>
              </w:rPr>
              <w:t>3</w:t>
            </w:r>
            <w:r>
              <w:rPr>
                <w:rFonts w:hint="eastAsia" w:cs="Times New Roman"/>
                <w:bCs/>
                <w:color w:val="auto"/>
                <w:sz w:val="24"/>
                <w:highlight w:val="none"/>
                <w:lang w:val="en-US" w:eastAsia="zh-CN"/>
              </w:rPr>
              <w:t>沉淀池，满足废水量储存，经沉淀后循环使用，不外排。</w:t>
            </w:r>
          </w:p>
          <w:p>
            <w:pPr>
              <w:pStyle w:val="35"/>
              <w:autoSpaceDE w:val="0"/>
              <w:autoSpaceDN w:val="0"/>
              <w:adjustRightInd w:val="0"/>
              <w:snapToGrid w:val="0"/>
              <w:spacing w:line="360" w:lineRule="auto"/>
              <w:ind w:firstLineChars="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fldChar w:fldCharType="begin"/>
            </w:r>
            <w:r>
              <w:rPr>
                <w:rFonts w:hint="default" w:ascii="Times New Roman" w:hAnsi="Times New Roman" w:cs="Times New Roman"/>
                <w:bCs/>
                <w:color w:val="auto"/>
                <w:sz w:val="24"/>
                <w:highlight w:val="none"/>
              </w:rPr>
              <w:instrText xml:space="preserve"> = 2 \* GB3 </w:instrText>
            </w:r>
            <w:r>
              <w:rPr>
                <w:rFonts w:hint="default" w:ascii="Times New Roman" w:hAnsi="Times New Roman" w:cs="Times New Roman"/>
                <w:bCs/>
                <w:color w:val="auto"/>
                <w:sz w:val="24"/>
                <w:highlight w:val="none"/>
              </w:rPr>
              <w:fldChar w:fldCharType="separate"/>
            </w:r>
            <w:r>
              <w:rPr>
                <w:rFonts w:hint="default" w:ascii="Times New Roman" w:hAnsi="Times New Roman" w:cs="Times New Roman"/>
                <w:bCs/>
                <w:color w:val="auto"/>
                <w:sz w:val="24"/>
                <w:highlight w:val="none"/>
              </w:rPr>
              <w:t>②</w:t>
            </w:r>
            <w:r>
              <w:rPr>
                <w:rFonts w:hint="default" w:ascii="Times New Roman" w:hAnsi="Times New Roman" w:cs="Times New Roman"/>
                <w:bCs/>
                <w:color w:val="auto"/>
                <w:sz w:val="24"/>
                <w:highlight w:val="none"/>
              </w:rPr>
              <w:fldChar w:fldCharType="end"/>
            </w:r>
            <w:r>
              <w:rPr>
                <w:rFonts w:hint="eastAsia" w:cs="Times New Roman"/>
                <w:bCs/>
                <w:color w:val="auto"/>
                <w:sz w:val="24"/>
                <w:highlight w:val="none"/>
                <w:lang w:val="en-US" w:eastAsia="zh-CN"/>
              </w:rPr>
              <w:t>洗车</w:t>
            </w:r>
            <w:r>
              <w:rPr>
                <w:rFonts w:hint="default" w:ascii="Times New Roman" w:hAnsi="Times New Roman" w:cs="Times New Roman"/>
                <w:bCs/>
                <w:color w:val="auto"/>
                <w:sz w:val="24"/>
                <w:highlight w:val="none"/>
              </w:rPr>
              <w:t>平台废水</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清洗平台废水产生量按用水量的80%计算，则产生量</w:t>
            </w:r>
            <w:r>
              <w:rPr>
                <w:rFonts w:hint="eastAsia" w:cs="Times New Roman"/>
                <w:bCs/>
                <w:color w:val="auto"/>
                <w:sz w:val="24"/>
                <w:highlight w:val="none"/>
                <w:lang w:val="en-US" w:eastAsia="zh-CN"/>
              </w:rPr>
              <w:t>1.76</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/d，废水经</w:t>
            </w:r>
            <w:r>
              <w:rPr>
                <w:rFonts w:hint="eastAsia" w:cs="Times New Roman"/>
                <w:bCs/>
                <w:color w:val="auto"/>
                <w:sz w:val="24"/>
                <w:highlight w:val="none"/>
                <w:lang w:val="en-US" w:eastAsia="zh-CN"/>
              </w:rPr>
              <w:t>1</w:t>
            </w:r>
            <w:r>
              <w:rPr>
                <w:rFonts w:hint="default" w:ascii="Times New Roman" w:hAnsi="Times New Roman" w:cs="Times New Roman"/>
                <w:bCs/>
                <w:color w:val="auto"/>
                <w:sz w:val="24"/>
                <w:highlight w:val="none"/>
              </w:rPr>
              <w:t>0m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沉淀池沉淀后循环利用，不外排。</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fldChar w:fldCharType="begin"/>
            </w:r>
            <w:r>
              <w:rPr>
                <w:rFonts w:hint="default" w:ascii="Times New Roman" w:hAnsi="Times New Roman" w:cs="Times New Roman"/>
                <w:bCs/>
                <w:color w:val="auto"/>
                <w:sz w:val="24"/>
                <w:highlight w:val="none"/>
              </w:rPr>
              <w:instrText xml:space="preserve"> = 3 \* GB3 </w:instrText>
            </w:r>
            <w:r>
              <w:rPr>
                <w:rFonts w:hint="default" w:ascii="Times New Roman" w:hAnsi="Times New Roman" w:cs="Times New Roman"/>
                <w:bCs/>
                <w:color w:val="auto"/>
                <w:sz w:val="24"/>
                <w:highlight w:val="none"/>
              </w:rPr>
              <w:fldChar w:fldCharType="separate"/>
            </w:r>
            <w:r>
              <w:rPr>
                <w:rFonts w:hint="default" w:ascii="Times New Roman" w:hAnsi="Times New Roman" w:cs="Times New Roman"/>
                <w:bCs/>
                <w:color w:val="auto"/>
                <w:sz w:val="24"/>
                <w:highlight w:val="none"/>
              </w:rPr>
              <w:t>③</w:t>
            </w:r>
            <w:r>
              <w:rPr>
                <w:rFonts w:hint="default" w:ascii="Times New Roman" w:hAnsi="Times New Roman" w:cs="Times New Roman"/>
                <w:bCs/>
                <w:color w:val="auto"/>
                <w:sz w:val="24"/>
                <w:highlight w:val="none"/>
              </w:rPr>
              <w:fldChar w:fldCharType="end"/>
            </w:r>
            <w:r>
              <w:rPr>
                <w:rFonts w:hint="default" w:ascii="Times New Roman" w:hAnsi="Times New Roman" w:cs="Times New Roman"/>
                <w:bCs/>
                <w:color w:val="auto"/>
                <w:sz w:val="24"/>
                <w:highlight w:val="none"/>
              </w:rPr>
              <w:t>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项目劳动定员</w:t>
            </w:r>
            <w:r>
              <w:rPr>
                <w:rFonts w:hint="eastAsia" w:cs="Times New Roman"/>
                <w:bCs/>
                <w:color w:val="auto"/>
                <w:sz w:val="24"/>
                <w:highlight w:val="none"/>
                <w:lang w:val="en-US" w:eastAsia="zh-CN"/>
              </w:rPr>
              <w:t>10</w:t>
            </w:r>
            <w:r>
              <w:rPr>
                <w:rFonts w:hint="default" w:ascii="Times New Roman" w:hAnsi="Times New Roman" w:cs="Times New Roman"/>
                <w:bCs/>
                <w:color w:val="auto"/>
                <w:sz w:val="24"/>
                <w:highlight w:val="none"/>
              </w:rPr>
              <w:t>人，不在</w:t>
            </w:r>
            <w:r>
              <w:rPr>
                <w:rFonts w:hint="eastAsia" w:cs="Times New Roman"/>
                <w:bCs/>
                <w:color w:val="auto"/>
                <w:sz w:val="24"/>
                <w:highlight w:val="none"/>
                <w:lang w:val="en-US" w:eastAsia="zh-CN"/>
              </w:rPr>
              <w:t>厂</w:t>
            </w:r>
            <w:r>
              <w:rPr>
                <w:rFonts w:hint="default" w:ascii="Times New Roman" w:hAnsi="Times New Roman" w:cs="Times New Roman"/>
                <w:bCs/>
                <w:color w:val="auto"/>
                <w:sz w:val="24"/>
                <w:highlight w:val="none"/>
              </w:rPr>
              <w:t>内食宿，生活污水主要为少量盥洗水，废水产生量按用水量的80%计算，废水量0.</w:t>
            </w:r>
            <w:r>
              <w:rPr>
                <w:rFonts w:hint="eastAsia" w:cs="Times New Roman"/>
                <w:bCs/>
                <w:color w:val="auto"/>
                <w:sz w:val="24"/>
                <w:highlight w:val="none"/>
                <w:lang w:val="en-US" w:eastAsia="zh-CN"/>
              </w:rPr>
              <w:t>24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bCs/>
                <w:color w:val="auto"/>
                <w:sz w:val="24"/>
                <w:highlight w:val="none"/>
              </w:rPr>
              <w:t>水质简单，水量较少，用于</w:t>
            </w:r>
            <w:r>
              <w:rPr>
                <w:rFonts w:hint="default" w:ascii="Times New Roman" w:hAnsi="Times New Roman" w:cs="Times New Roman"/>
                <w:color w:val="auto"/>
                <w:sz w:val="24"/>
                <w:highlight w:val="none"/>
              </w:rPr>
              <w:t>洒水抑尘。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根据项目水平衡可知，项目绿化用水量0.75m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/d，生活废水产生量0.24m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/d，产生量很小，可保证废水全部综合利用，不外排；采暖期，厂区场地洒水量约0.3m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/d，可完全消纳生活污水，保证废水不外排。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本项目用排水情况见表</w:t>
            </w:r>
            <w:r>
              <w:rPr>
                <w:rFonts w:hint="eastAsia" w:cs="Times New Roman"/>
                <w:color w:val="auto"/>
                <w:sz w:val="24"/>
                <w:highlight w:val="none"/>
                <w:lang w:val="en-US" w:eastAsia="zh-CN"/>
              </w:rPr>
              <w:t>2-6</w:t>
            </w:r>
            <w:r>
              <w:rPr>
                <w:rFonts w:hint="default" w:ascii="Times New Roman" w:hAnsi="Times New Roman" w:cs="Times New Roman"/>
                <w:color w:val="auto"/>
                <w:sz w:val="24"/>
                <w:highlight w:val="none"/>
              </w:rPr>
              <w:t>，项目水平衡图见图</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和图2-3</w:t>
            </w:r>
            <w:r>
              <w:rPr>
                <w:rFonts w:hint="default" w:ascii="Times New Roman" w:hAnsi="Times New Roman" w:cs="Times New Roman"/>
                <w:color w:val="auto"/>
                <w:sz w:val="24"/>
                <w:highlight w:val="none"/>
              </w:rPr>
              <w:t>。</w:t>
            </w:r>
          </w:p>
          <w:p>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eastAsia" w:cs="Times New Roman"/>
                <w:b/>
                <w:color w:val="auto"/>
                <w:highlight w:val="none"/>
                <w:lang w:val="en-US" w:eastAsia="zh-CN"/>
              </w:rPr>
              <w:t>2-6</w:t>
            </w:r>
            <w:r>
              <w:rPr>
                <w:rFonts w:hint="default" w:ascii="Times New Roman" w:hAnsi="Times New Roman" w:cs="Times New Roman"/>
                <w:b/>
                <w:color w:val="auto"/>
                <w:highlight w:val="none"/>
              </w:rPr>
              <w:t xml:space="preserve"> 项目用水情况一览表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8"/>
              <w:gridCol w:w="1343"/>
              <w:gridCol w:w="1023"/>
              <w:gridCol w:w="1209"/>
              <w:gridCol w:w="1059"/>
              <w:gridCol w:w="16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15"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用水单元</w:t>
                  </w:r>
                </w:p>
              </w:tc>
              <w:tc>
                <w:tcPr>
                  <w:tcW w:w="789"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用水标准</w:t>
                  </w:r>
                </w:p>
              </w:tc>
              <w:tc>
                <w:tcPr>
                  <w:tcW w:w="60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710"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新鲜水量</w:t>
                  </w:r>
                </w:p>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/d</w:t>
                  </w:r>
                </w:p>
              </w:tc>
              <w:tc>
                <w:tcPr>
                  <w:tcW w:w="622"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排水量</w:t>
                  </w:r>
                </w:p>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/d</w:t>
                  </w:r>
                </w:p>
              </w:tc>
              <w:tc>
                <w:tcPr>
                  <w:tcW w:w="96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15"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制浆</w:t>
                  </w:r>
                  <w:r>
                    <w:rPr>
                      <w:rFonts w:hint="default" w:ascii="Times New Roman" w:hAnsi="Times New Roman" w:cs="Times New Roman"/>
                      <w:color w:val="auto"/>
                      <w:szCs w:val="21"/>
                      <w:highlight w:val="none"/>
                    </w:rPr>
                    <w:t>用水</w:t>
                  </w:r>
                </w:p>
              </w:tc>
              <w:tc>
                <w:tcPr>
                  <w:tcW w:w="789"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10:3</w:t>
                  </w:r>
                </w:p>
              </w:tc>
              <w:tc>
                <w:tcPr>
                  <w:tcW w:w="60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w:t>
                  </w:r>
                </w:p>
              </w:tc>
              <w:tc>
                <w:tcPr>
                  <w:tcW w:w="710"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170</w:t>
                  </w:r>
                </w:p>
              </w:tc>
              <w:tc>
                <w:tcPr>
                  <w:tcW w:w="622"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96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1315"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设备及模具清洗</w:t>
                  </w:r>
                  <w:r>
                    <w:rPr>
                      <w:rFonts w:hint="default" w:ascii="Times New Roman" w:hAnsi="Times New Roman" w:cs="Times New Roman"/>
                      <w:color w:val="auto"/>
                      <w:szCs w:val="21"/>
                      <w:highlight w:val="none"/>
                    </w:rPr>
                    <w:t>用水</w:t>
                  </w:r>
                </w:p>
              </w:tc>
              <w:tc>
                <w:tcPr>
                  <w:tcW w:w="789" w:type="pct"/>
                  <w:noWrap w:val="0"/>
                  <w:vAlign w:val="center"/>
                </w:tcPr>
                <w:p>
                  <w:pPr>
                    <w:pStyle w:val="12"/>
                    <w:adjustRightInd w:val="0"/>
                    <w:spacing w:line="240" w:lineRule="auto"/>
                    <w:ind w:left="0" w:leftChars="0" w:right="0" w:rightChars="0" w:firstLine="0" w:firstLineChars="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w:t>
                  </w:r>
                </w:p>
              </w:tc>
              <w:tc>
                <w:tcPr>
                  <w:tcW w:w="60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w:t>
                  </w:r>
                </w:p>
              </w:tc>
              <w:tc>
                <w:tcPr>
                  <w:tcW w:w="710"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c>
                <w:tcPr>
                  <w:tcW w:w="622"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96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循环使用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15"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洗车</w:t>
                  </w:r>
                  <w:r>
                    <w:rPr>
                      <w:rFonts w:hint="default" w:ascii="Times New Roman" w:hAnsi="Times New Roman" w:cs="Times New Roman"/>
                      <w:color w:val="auto"/>
                      <w:szCs w:val="21"/>
                      <w:highlight w:val="none"/>
                    </w:rPr>
                    <w:t>平台补充水</w:t>
                  </w:r>
                </w:p>
              </w:tc>
              <w:tc>
                <w:tcPr>
                  <w:tcW w:w="789"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40L</w:t>
                  </w:r>
                  <w:r>
                    <w:rPr>
                      <w:rFonts w:hint="default" w:ascii="Times New Roman" w:hAnsi="Times New Roman" w:cs="Times New Roman"/>
                      <w:color w:val="auto"/>
                      <w:szCs w:val="21"/>
                      <w:highlight w:val="none"/>
                    </w:rPr>
                    <w:t>/辆</w:t>
                  </w:r>
                </w:p>
              </w:tc>
              <w:tc>
                <w:tcPr>
                  <w:tcW w:w="60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55</w:t>
                  </w:r>
                </w:p>
              </w:tc>
              <w:tc>
                <w:tcPr>
                  <w:tcW w:w="710"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w:t>
                  </w:r>
                </w:p>
              </w:tc>
              <w:tc>
                <w:tcPr>
                  <w:tcW w:w="622"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96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循环使用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15"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生活用水</w:t>
                  </w:r>
                </w:p>
              </w:tc>
              <w:tc>
                <w:tcPr>
                  <w:tcW w:w="789"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30L/d</w:t>
                  </w:r>
                </w:p>
              </w:tc>
              <w:tc>
                <w:tcPr>
                  <w:tcW w:w="60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10</w:t>
                  </w:r>
                  <w:r>
                    <w:rPr>
                      <w:rFonts w:hint="default" w:ascii="Times New Roman" w:hAnsi="Times New Roman" w:cs="Times New Roman"/>
                      <w:color w:val="auto"/>
                      <w:szCs w:val="21"/>
                      <w:highlight w:val="none"/>
                    </w:rPr>
                    <w:t>人</w:t>
                  </w:r>
                </w:p>
              </w:tc>
              <w:tc>
                <w:tcPr>
                  <w:tcW w:w="710" w:type="pct"/>
                  <w:noWrap w:val="0"/>
                  <w:vAlign w:val="center"/>
                </w:tcPr>
                <w:p>
                  <w:pPr>
                    <w:pStyle w:val="12"/>
                    <w:adjustRightInd w:val="0"/>
                    <w:spacing w:line="240" w:lineRule="auto"/>
                    <w:ind w:left="0" w:leftChars="0" w:right="0" w:rightChars="0" w:firstLine="0" w:firstLineChars="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0.</w:t>
                  </w:r>
                  <w:r>
                    <w:rPr>
                      <w:rFonts w:hint="eastAsia" w:cs="Times New Roman"/>
                      <w:color w:val="auto"/>
                      <w:szCs w:val="21"/>
                      <w:highlight w:val="none"/>
                      <w:lang w:val="en-US" w:eastAsia="zh-CN"/>
                    </w:rPr>
                    <w:t>3</w:t>
                  </w:r>
                </w:p>
              </w:tc>
              <w:tc>
                <w:tcPr>
                  <w:tcW w:w="622"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0.</w:t>
                  </w:r>
                  <w:r>
                    <w:rPr>
                      <w:rFonts w:hint="eastAsia" w:cs="Times New Roman"/>
                      <w:color w:val="auto"/>
                      <w:szCs w:val="21"/>
                      <w:highlight w:val="none"/>
                      <w:lang w:val="en-US" w:eastAsia="zh-CN"/>
                    </w:rPr>
                    <w:t>24</w:t>
                  </w:r>
                </w:p>
              </w:tc>
              <w:tc>
                <w:tcPr>
                  <w:tcW w:w="96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厂区洒水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15"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绿化用水</w:t>
                  </w:r>
                </w:p>
              </w:tc>
              <w:tc>
                <w:tcPr>
                  <w:tcW w:w="789"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 w:val="21"/>
                      <w:szCs w:val="21"/>
                      <w:highlight w:val="none"/>
                      <w:lang w:val="en-US" w:eastAsia="zh-CN"/>
                    </w:rPr>
                    <w:t>1.5L/(m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·d</w:t>
                  </w:r>
                  <w:r>
                    <w:rPr>
                      <w:rFonts w:hint="eastAsia" w:cs="Times New Roman"/>
                      <w:color w:val="auto"/>
                      <w:sz w:val="21"/>
                      <w:szCs w:val="21"/>
                      <w:highlight w:val="none"/>
                      <w:lang w:val="en-US" w:eastAsia="zh-CN"/>
                    </w:rPr>
                    <w:t>)</w:t>
                  </w:r>
                </w:p>
              </w:tc>
              <w:tc>
                <w:tcPr>
                  <w:tcW w:w="60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00</w:t>
                  </w:r>
                </w:p>
              </w:tc>
              <w:tc>
                <w:tcPr>
                  <w:tcW w:w="710"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0.75</w:t>
                  </w:r>
                </w:p>
              </w:tc>
              <w:tc>
                <w:tcPr>
                  <w:tcW w:w="622"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96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15" w:type="pct"/>
                  <w:vMerge w:val="restar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1390" w:type="pct"/>
                  <w:gridSpan w:val="2"/>
                  <w:noWrap w:val="0"/>
                  <w:vAlign w:val="center"/>
                </w:tcPr>
                <w:p>
                  <w:pPr>
                    <w:pStyle w:val="12"/>
                    <w:adjustRightInd w:val="0"/>
                    <w:spacing w:line="240" w:lineRule="auto"/>
                    <w:ind w:left="0" w:leftChars="0" w:right="0" w:rightChars="0" w:firstLine="0" w:firstLine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采暖期</w:t>
                  </w:r>
                </w:p>
              </w:tc>
              <w:tc>
                <w:tcPr>
                  <w:tcW w:w="710"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174.5</w:t>
                  </w:r>
                </w:p>
              </w:tc>
              <w:tc>
                <w:tcPr>
                  <w:tcW w:w="622"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0.24</w:t>
                  </w:r>
                </w:p>
              </w:tc>
              <w:tc>
                <w:tcPr>
                  <w:tcW w:w="96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15" w:type="pct"/>
                  <w:vMerge w:val="continue"/>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p>
              </w:tc>
              <w:tc>
                <w:tcPr>
                  <w:tcW w:w="1390" w:type="pct"/>
                  <w:gridSpan w:val="2"/>
                  <w:noWrap w:val="0"/>
                  <w:vAlign w:val="center"/>
                </w:tcPr>
                <w:p>
                  <w:pPr>
                    <w:pStyle w:val="12"/>
                    <w:adjustRightInd w:val="0"/>
                    <w:spacing w:line="240" w:lineRule="auto"/>
                    <w:ind w:left="0" w:leftChars="0" w:right="0" w:rightChars="0" w:firstLine="0" w:firstLine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非采暖期</w:t>
                  </w:r>
                </w:p>
              </w:tc>
              <w:tc>
                <w:tcPr>
                  <w:tcW w:w="710"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175.25</w:t>
                  </w:r>
                </w:p>
              </w:tc>
              <w:tc>
                <w:tcPr>
                  <w:tcW w:w="622" w:type="pct"/>
                  <w:noWrap w:val="0"/>
                  <w:vAlign w:val="center"/>
                </w:tcPr>
                <w:p>
                  <w:pPr>
                    <w:pStyle w:val="12"/>
                    <w:adjustRightInd w:val="0"/>
                    <w:spacing w:line="240" w:lineRule="auto"/>
                    <w:ind w:left="0" w:leftChars="0" w:right="0" w:righ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0.24</w:t>
                  </w:r>
                </w:p>
              </w:tc>
              <w:tc>
                <w:tcPr>
                  <w:tcW w:w="961" w:type="pct"/>
                  <w:noWrap w:val="0"/>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p>
              </w:tc>
            </w:tr>
          </w:tbl>
          <w:p>
            <w:pPr>
              <w:pStyle w:val="1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5" o:spt="75" type="#_x0000_t75" style="height:285.8pt;width:316.5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p>
          <w:p>
            <w:pPr>
              <w:adjustRightInd w:val="0"/>
              <w:snapToGrid w:val="0"/>
              <w:jc w:val="center"/>
              <w:rPr>
                <w:rFonts w:hint="eastAsia"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图</w:t>
            </w:r>
            <w:r>
              <w:rPr>
                <w:rFonts w:hint="eastAsia" w:cs="Times New Roman"/>
                <w:b/>
                <w:color w:val="auto"/>
                <w:szCs w:val="21"/>
                <w:highlight w:val="none"/>
                <w:lang w:val="en-US" w:eastAsia="zh-CN"/>
              </w:rPr>
              <w:t>2</w:t>
            </w:r>
            <w:r>
              <w:rPr>
                <w:rFonts w:hint="default" w:ascii="Times New Roman" w:hAnsi="Times New Roman" w:cs="Times New Roman"/>
                <w:b/>
                <w:color w:val="auto"/>
                <w:szCs w:val="21"/>
                <w:highlight w:val="none"/>
              </w:rPr>
              <w:t>-</w:t>
            </w:r>
            <w:r>
              <w:rPr>
                <w:rFonts w:hint="eastAsia"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 xml:space="preserve"> 项目</w:t>
            </w:r>
            <w:r>
              <w:rPr>
                <w:rFonts w:hint="eastAsia" w:cs="Times New Roman"/>
                <w:b/>
                <w:color w:val="auto"/>
                <w:szCs w:val="21"/>
                <w:highlight w:val="none"/>
                <w:lang w:val="en-US" w:eastAsia="zh-CN"/>
              </w:rPr>
              <w:t>非采暖期</w:t>
            </w:r>
            <w:r>
              <w:rPr>
                <w:rFonts w:hint="default" w:ascii="Times New Roman" w:hAnsi="Times New Roman" w:cs="Times New Roman"/>
                <w:b/>
                <w:color w:val="auto"/>
                <w:szCs w:val="21"/>
                <w:highlight w:val="none"/>
              </w:rPr>
              <w:t>水平衡图（m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/d）</w:t>
            </w: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adjustRightInd w:val="0"/>
              <w:snapToGrid w:val="0"/>
              <w:jc w:val="center"/>
              <w:rPr>
                <w:rFonts w:hint="default"/>
                <w:color w:val="auto"/>
                <w:highlight w:val="none"/>
              </w:rPr>
            </w:pPr>
            <w:r>
              <w:rPr>
                <w:rFonts w:hint="default"/>
                <w:color w:val="auto"/>
                <w:highlight w:val="none"/>
              </w:rPr>
              <w:object>
                <v:shape id="_x0000_i1026" o:spt="75" type="#_x0000_t75" style="height:247.55pt;width:327.8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图</w:t>
            </w:r>
            <w:r>
              <w:rPr>
                <w:rFonts w:hint="eastAsia" w:cs="Times New Roman"/>
                <w:b/>
                <w:color w:val="auto"/>
                <w:szCs w:val="21"/>
                <w:highlight w:val="none"/>
                <w:lang w:val="en-US" w:eastAsia="zh-CN"/>
              </w:rPr>
              <w:t>2</w:t>
            </w:r>
            <w:r>
              <w:rPr>
                <w:rFonts w:hint="default" w:ascii="Times New Roman" w:hAnsi="Times New Roman" w:cs="Times New Roman"/>
                <w:b/>
                <w:color w:val="auto"/>
                <w:szCs w:val="21"/>
                <w:highlight w:val="none"/>
              </w:rPr>
              <w:t>-</w:t>
            </w:r>
            <w:r>
              <w:rPr>
                <w:rFonts w:hint="eastAsia" w:ascii="Times New Roman" w:hAnsi="Times New Roman" w:cs="Times New Roman"/>
                <w:b/>
                <w:color w:val="auto"/>
                <w:szCs w:val="21"/>
                <w:highlight w:val="none"/>
                <w:lang w:val="en-US" w:eastAsia="zh-CN"/>
              </w:rPr>
              <w:t>3</w:t>
            </w:r>
            <w:r>
              <w:rPr>
                <w:rFonts w:hint="default" w:ascii="Times New Roman" w:hAnsi="Times New Roman" w:cs="Times New Roman"/>
                <w:b/>
                <w:color w:val="auto"/>
                <w:szCs w:val="21"/>
                <w:highlight w:val="none"/>
              </w:rPr>
              <w:t xml:space="preserve"> 项目</w:t>
            </w:r>
            <w:r>
              <w:rPr>
                <w:rFonts w:hint="eastAsia" w:cs="Times New Roman"/>
                <w:b/>
                <w:color w:val="auto"/>
                <w:szCs w:val="21"/>
                <w:highlight w:val="none"/>
                <w:lang w:val="en-US" w:eastAsia="zh-CN"/>
              </w:rPr>
              <w:t>采暖期</w:t>
            </w:r>
            <w:r>
              <w:rPr>
                <w:rFonts w:hint="default" w:ascii="Times New Roman" w:hAnsi="Times New Roman" w:cs="Times New Roman"/>
                <w:b/>
                <w:color w:val="auto"/>
                <w:szCs w:val="21"/>
                <w:highlight w:val="none"/>
              </w:rPr>
              <w:t>水平衡图（m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（4）初期雨水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暴雨强度及雨水流量计算使用原平暴雨强度计算公式：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sz w:val="24"/>
                <w:szCs w:val="24"/>
                <w:highlight w:val="none"/>
              </w:rPr>
            </w:pPr>
            <m:oMathPara>
              <m:oMath>
                <m:r>
                  <m:rPr/>
                  <w:rPr>
                    <w:rFonts w:hint="default" w:ascii="Cambria Math" w:hAnsi="Cambria Math" w:eastAsia="宋体" w:cs="Times New Roman"/>
                    <w:color w:val="auto"/>
                    <w:kern w:val="2"/>
                    <w:sz w:val="24"/>
                    <w:szCs w:val="24"/>
                    <w:highlight w:val="none"/>
                  </w:rPr>
                  <m:t>q</m:t>
                </m:r>
                <m:r>
                  <m:rPr>
                    <m:sty m:val="p"/>
                  </m:rPr>
                  <w:rPr>
                    <w:rFonts w:hint="default" w:ascii="Cambria Math" w:hAnsi="Cambria Math" w:eastAsia="宋体" w:cs="Times New Roman"/>
                    <w:color w:val="auto"/>
                    <w:kern w:val="2"/>
                    <w:sz w:val="24"/>
                    <w:szCs w:val="24"/>
                    <w:highlight w:val="none"/>
                  </w:rPr>
                  <m:t>=</m:t>
                </m:r>
                <m:f>
                  <m:fPr>
                    <m:ctrlPr>
                      <w:rPr>
                        <w:rFonts w:hint="default" w:ascii="Cambria Math" w:hAnsi="Cambria Math" w:eastAsia="宋体" w:cs="Times New Roman"/>
                        <w:color w:val="auto"/>
                        <w:kern w:val="2"/>
                        <w:sz w:val="24"/>
                        <w:szCs w:val="24"/>
                        <w:highlight w:val="none"/>
                      </w:rPr>
                    </m:ctrlPr>
                  </m:fPr>
                  <m:num>
                    <m:r>
                      <m:rPr>
                        <m:sty m:val="p"/>
                      </m:rPr>
                      <w:rPr>
                        <w:rFonts w:hint="default" w:ascii="Cambria Math" w:hAnsi="Cambria Math" w:eastAsia="宋体" w:cs="Times New Roman"/>
                        <w:color w:val="auto"/>
                        <w:kern w:val="2"/>
                        <w:sz w:val="24"/>
                        <w:szCs w:val="24"/>
                        <w:highlight w:val="none"/>
                      </w:rPr>
                      <m:t>1803.6（1+1.04</m:t>
                    </m:r>
                    <m:r>
                      <m:rPr>
                        <m:sty m:val="p"/>
                      </m:rPr>
                      <w:rPr>
                        <w:rFonts w:hint="default" w:ascii="Cambria Math" w:hAnsi="Cambria Math" w:eastAsia="宋体" w:cs="Times New Roman"/>
                        <w:color w:val="auto"/>
                        <w:sz w:val="24"/>
                        <w:szCs w:val="24"/>
                        <w:highlight w:val="none"/>
                      </w:rPr>
                      <m:t>Lg</m:t>
                    </m:r>
                    <m:r>
                      <m:rPr/>
                      <w:rPr>
                        <w:rFonts w:hint="default" w:ascii="Cambria Math" w:hAnsi="Cambria Math" w:eastAsia="宋体" w:cs="Times New Roman"/>
                        <w:color w:val="auto"/>
                        <w:kern w:val="2"/>
                        <w:sz w:val="24"/>
                        <w:szCs w:val="24"/>
                        <w:highlight w:val="none"/>
                      </w:rPr>
                      <m:t>P</m:t>
                    </m:r>
                    <m:r>
                      <m:rPr>
                        <m:sty m:val="p"/>
                      </m:rPr>
                      <w:rPr>
                        <w:rFonts w:hint="default" w:ascii="Cambria Math" w:hAnsi="Cambria Math" w:eastAsia="宋体" w:cs="Times New Roman"/>
                        <w:color w:val="auto"/>
                        <w:kern w:val="2"/>
                        <w:sz w:val="24"/>
                        <w:szCs w:val="24"/>
                        <w:highlight w:val="none"/>
                      </w:rPr>
                      <m:t>）</m:t>
                    </m:r>
                    <m:ctrlPr>
                      <w:rPr>
                        <w:rFonts w:hint="default" w:ascii="Cambria Math" w:hAnsi="Cambria Math" w:eastAsia="宋体" w:cs="Times New Roman"/>
                        <w:color w:val="auto"/>
                        <w:kern w:val="2"/>
                        <w:sz w:val="24"/>
                        <w:szCs w:val="24"/>
                        <w:highlight w:val="none"/>
                      </w:rPr>
                    </m:ctrlPr>
                  </m:num>
                  <m:den>
                    <m:sSup>
                      <m:sSupPr>
                        <m:ctrlPr>
                          <w:rPr>
                            <w:rFonts w:hint="default" w:ascii="Cambria Math" w:hAnsi="Cambria Math" w:eastAsia="宋体" w:cs="Times New Roman"/>
                            <w:color w:val="auto"/>
                            <w:kern w:val="2"/>
                            <w:sz w:val="24"/>
                            <w:szCs w:val="24"/>
                            <w:highlight w:val="none"/>
                          </w:rPr>
                        </m:ctrlPr>
                      </m:sSupPr>
                      <m:e>
                        <m:r>
                          <m:rPr>
                            <m:sty m:val="p"/>
                          </m:rPr>
                          <w:rPr>
                            <w:rFonts w:hint="default" w:ascii="Cambria Math" w:hAnsi="Cambria Math" w:eastAsia="宋体" w:cs="Times New Roman"/>
                            <w:color w:val="auto"/>
                            <w:kern w:val="2"/>
                            <w:sz w:val="24"/>
                            <w:szCs w:val="24"/>
                            <w:highlight w:val="none"/>
                          </w:rPr>
                          <m:t>（</m:t>
                        </m:r>
                        <m:r>
                          <m:rPr/>
                          <w:rPr>
                            <w:rFonts w:hint="default" w:ascii="Cambria Math" w:hAnsi="Cambria Math" w:eastAsia="宋体" w:cs="Times New Roman"/>
                            <w:color w:val="auto"/>
                            <w:kern w:val="2"/>
                            <w:sz w:val="24"/>
                            <w:szCs w:val="24"/>
                            <w:highlight w:val="none"/>
                          </w:rPr>
                          <m:t>t</m:t>
                        </m:r>
                        <m:r>
                          <m:rPr>
                            <m:sty m:val="p"/>
                          </m:rPr>
                          <w:rPr>
                            <w:rFonts w:hint="default" w:ascii="Cambria Math" w:hAnsi="Cambria Math" w:eastAsia="宋体" w:cs="Times New Roman"/>
                            <w:color w:val="auto"/>
                            <w:kern w:val="2"/>
                            <w:sz w:val="24"/>
                            <w:szCs w:val="24"/>
                            <w:highlight w:val="none"/>
                          </w:rPr>
                          <m:t>+8.64）</m:t>
                        </m:r>
                        <m:ctrlPr>
                          <w:rPr>
                            <w:rFonts w:hint="default" w:ascii="Cambria Math" w:hAnsi="Cambria Math" w:eastAsia="宋体" w:cs="Times New Roman"/>
                            <w:color w:val="auto"/>
                            <w:kern w:val="2"/>
                            <w:sz w:val="24"/>
                            <w:szCs w:val="24"/>
                            <w:highlight w:val="none"/>
                          </w:rPr>
                        </m:ctrlPr>
                      </m:e>
                      <m:sup>
                        <m:r>
                          <m:rPr>
                            <m:sty m:val="p"/>
                          </m:rPr>
                          <w:rPr>
                            <w:rFonts w:hint="default" w:ascii="Cambria Math" w:hAnsi="Cambria Math" w:eastAsia="宋体" w:cs="Times New Roman"/>
                            <w:color w:val="auto"/>
                            <w:kern w:val="2"/>
                            <w:sz w:val="24"/>
                            <w:szCs w:val="24"/>
                            <w:highlight w:val="none"/>
                          </w:rPr>
                          <m:t>0.8</m:t>
                        </m:r>
                        <m:ctrlPr>
                          <w:rPr>
                            <w:rFonts w:hint="default" w:ascii="Cambria Math" w:hAnsi="Cambria Math" w:eastAsia="宋体" w:cs="Times New Roman"/>
                            <w:color w:val="auto"/>
                            <w:kern w:val="2"/>
                            <w:sz w:val="24"/>
                            <w:szCs w:val="24"/>
                            <w:highlight w:val="none"/>
                          </w:rPr>
                        </m:ctrlPr>
                      </m:sup>
                    </m:sSup>
                    <m:ctrlPr>
                      <w:rPr>
                        <w:rFonts w:hint="default" w:ascii="Cambria Math" w:hAnsi="Cambria Math" w:eastAsia="宋体" w:cs="Times New Roman"/>
                        <w:color w:val="auto"/>
                        <w:kern w:val="2"/>
                        <w:sz w:val="24"/>
                        <w:szCs w:val="24"/>
                        <w:highlight w:val="none"/>
                      </w:rPr>
                    </m:ctrlPr>
                  </m:den>
                </m:f>
              </m:oMath>
            </m:oMathPara>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762000" cy="200025"/>
                  <wp:effectExtent l="0" t="0" r="0" b="6985"/>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15"/>
                          <a:stretch>
                            <a:fillRect/>
                          </a:stretch>
                        </pic:blipFill>
                        <pic:spPr>
                          <a:xfrm>
                            <a:off x="0" y="0"/>
                            <a:ext cx="762000" cy="2000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bCs/>
                <w:color w:val="auto"/>
                <w:sz w:val="24"/>
                <w:szCs w:val="24"/>
                <w:highlight w:val="none"/>
              </w:rPr>
              <w:t>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rPr>
              <w:t>径流系数，取0.90；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q</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rPr>
              <w:t>暴雨强度（L/S.hm</w:t>
            </w:r>
            <w:r>
              <w:rPr>
                <w:rFonts w:hint="default" w:ascii="Times New Roman" w:hAnsi="Times New Roman" w:eastAsia="宋体" w:cs="Times New Roman"/>
                <w:bCs/>
                <w:color w:val="auto"/>
                <w:sz w:val="24"/>
                <w:szCs w:val="24"/>
                <w:highlight w:val="none"/>
                <w:vertAlign w:val="superscript"/>
              </w:rPr>
              <w:t>2</w:t>
            </w:r>
            <w:r>
              <w:rPr>
                <w:rFonts w:hint="default" w:ascii="Times New Roman" w:hAnsi="Times New Roman" w:eastAsia="宋体" w:cs="Times New Roman"/>
                <w:bCs/>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F</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rPr>
              <w:t>汇水面积，0.</w:t>
            </w:r>
            <w:r>
              <w:rPr>
                <w:rFonts w:hint="default"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hm</w:t>
            </w:r>
            <w:r>
              <w:rPr>
                <w:rFonts w:hint="default" w:ascii="Times New Roman" w:hAnsi="Times New Roman" w:eastAsia="宋体" w:cs="Times New Roman"/>
                <w:bCs/>
                <w:color w:val="auto"/>
                <w:sz w:val="24"/>
                <w:szCs w:val="24"/>
                <w:highlight w:val="none"/>
                <w:vertAlign w:val="superscript"/>
              </w:rPr>
              <w:t>2</w:t>
            </w:r>
            <w:r>
              <w:rPr>
                <w:rFonts w:hint="default" w:ascii="Times New Roman" w:hAnsi="Times New Roman" w:eastAsia="宋体" w:cs="Times New Roman"/>
                <w:bCs/>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rPr>
              <w:t>降雨历时，取15min。</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P----重现期，取2年；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根据计算地区暴雨强度为188.6</w:t>
            </w:r>
            <w:r>
              <w:rPr>
                <w:rFonts w:hint="default" w:ascii="Times New Roman" w:hAnsi="Times New Roman" w:eastAsia="宋体" w:cs="Times New Roman"/>
                <w:bCs/>
                <w:color w:val="auto"/>
                <w:sz w:val="24"/>
                <w:szCs w:val="24"/>
                <w:highlight w:val="none"/>
              </w:rPr>
              <w:t>L/S.hm</w:t>
            </w:r>
            <w:r>
              <w:rPr>
                <w:rFonts w:hint="default" w:ascii="Times New Roman" w:hAnsi="Times New Roman" w:eastAsia="宋体" w:cs="Times New Roman"/>
                <w:bCs/>
                <w:color w:val="auto"/>
                <w:sz w:val="24"/>
                <w:szCs w:val="24"/>
                <w:highlight w:val="none"/>
                <w:vertAlign w:val="superscript"/>
              </w:rPr>
              <w:t>2</w:t>
            </w:r>
            <w:r>
              <w:rPr>
                <w:rFonts w:hint="default" w:ascii="Times New Roman" w:hAnsi="Times New Roman" w:eastAsia="宋体" w:cs="Times New Roman"/>
                <w:color w:val="auto"/>
                <w:sz w:val="24"/>
                <w:szCs w:val="24"/>
                <w:highlight w:val="none"/>
              </w:rPr>
              <w:t>，计算得Q＝</w:t>
            </w:r>
            <w:r>
              <w:rPr>
                <w:rFonts w:hint="eastAsia" w:ascii="Times New Roman" w:hAnsi="Times New Roman" w:eastAsia="宋体" w:cs="Times New Roman"/>
                <w:color w:val="auto"/>
                <w:sz w:val="24"/>
                <w:szCs w:val="24"/>
                <w:highlight w:val="none"/>
                <w:lang w:val="en-US" w:eastAsia="zh-CN"/>
              </w:rPr>
              <w:t>45.8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为减少初期雨水外排，企业在厂区</w:t>
            </w:r>
            <w:r>
              <w:rPr>
                <w:rFonts w:hint="eastAsia" w:ascii="Times New Roman" w:hAnsi="Times New Roman" w:eastAsia="宋体" w:cs="Times New Roman"/>
                <w:color w:val="auto"/>
                <w:sz w:val="24"/>
                <w:szCs w:val="24"/>
                <w:highlight w:val="none"/>
                <w:lang w:val="en-US" w:eastAsia="zh-CN"/>
              </w:rPr>
              <w:t>东</w:t>
            </w:r>
            <w:r>
              <w:rPr>
                <w:rFonts w:hint="default" w:ascii="Times New Roman" w:hAnsi="Times New Roman" w:eastAsia="宋体" w:cs="Times New Roman"/>
                <w:color w:val="auto"/>
                <w:sz w:val="24"/>
                <w:szCs w:val="24"/>
                <w:highlight w:val="none"/>
                <w:lang w:eastAsia="zh-CN"/>
              </w:rPr>
              <w:t>侧</w:t>
            </w:r>
            <w:r>
              <w:rPr>
                <w:rFonts w:hint="default" w:ascii="Times New Roman" w:hAnsi="Times New Roman" w:eastAsia="宋体" w:cs="Times New Roman"/>
                <w:color w:val="auto"/>
                <w:sz w:val="24"/>
                <w:szCs w:val="24"/>
                <w:highlight w:val="none"/>
              </w:rPr>
              <w:t>设一个雨水收集池，容积为</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，采用钢筋混凝土结构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经收集后用于厂区洒水抑尘。</w:t>
            </w:r>
          </w:p>
          <w:p>
            <w:pPr>
              <w:pStyle w:val="1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9.2供电</w:t>
            </w:r>
          </w:p>
          <w:p>
            <w:pPr>
              <w:pStyle w:val="12"/>
              <w:adjustRightInd w:val="0"/>
              <w:spacing w:line="360" w:lineRule="auto"/>
              <w:ind w:left="0" w:leftChars="0" w:right="0" w:rightChars="0"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由大营镇供电电网接入1台250KVA变压器，</w:t>
            </w:r>
            <w:r>
              <w:rPr>
                <w:rFonts w:hint="default" w:ascii="Times New Roman" w:hAnsi="Times New Roman" w:cs="Times New Roman"/>
                <w:color w:val="auto"/>
                <w:sz w:val="24"/>
                <w:highlight w:val="none"/>
              </w:rPr>
              <w:t>用电量约</w:t>
            </w:r>
            <w:r>
              <w:rPr>
                <w:rFonts w:hint="eastAsia" w:cs="Times New Roman"/>
                <w:color w:val="auto"/>
                <w:sz w:val="24"/>
                <w:highlight w:val="none"/>
                <w:lang w:val="en-US" w:eastAsia="zh-CN"/>
              </w:rPr>
              <w:t>150</w:t>
            </w:r>
            <w:r>
              <w:rPr>
                <w:rFonts w:hint="default" w:ascii="Times New Roman" w:hAnsi="Times New Roman" w:cs="Times New Roman"/>
                <w:color w:val="auto"/>
                <w:sz w:val="24"/>
                <w:highlight w:val="none"/>
              </w:rPr>
              <w:t>万kwh/a。</w:t>
            </w:r>
          </w:p>
          <w:p>
            <w:pPr>
              <w:pStyle w:val="12"/>
              <w:adjustRightInd w:val="0"/>
              <w:spacing w:line="360" w:lineRule="auto"/>
              <w:ind w:left="0" w:leftChars="0" w:right="0" w:rightChars="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9.3供热</w:t>
            </w:r>
          </w:p>
          <w:p>
            <w:pPr>
              <w:pStyle w:val="12"/>
              <w:adjustRightInd w:val="0"/>
              <w:spacing w:line="360" w:lineRule="auto"/>
              <w:ind w:left="0" w:leftChars="0" w:right="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本项目生产区不采暖，办公区采用电采暖。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284" w:type="pct"/>
            <w:noWrap w:val="0"/>
            <w:vAlign w:val="center"/>
          </w:tcPr>
          <w:p>
            <w:pPr>
              <w:pStyle w:val="20"/>
              <w:adjustRightInd w:val="0"/>
              <w:snapToGrid w:val="0"/>
              <w:spacing w:before="0" w:beforeAutospacing="0" w:after="0" w:afterAutospacing="0"/>
              <w:jc w:val="center"/>
              <w:rPr>
                <w:rFonts w:cs="宋体"/>
                <w:color w:val="auto"/>
                <w:sz w:val="21"/>
                <w:szCs w:val="21"/>
                <w:highlight w:val="none"/>
              </w:rPr>
            </w:pPr>
            <w:r>
              <w:rPr>
                <w:rFonts w:hint="eastAsia" w:cs="宋体"/>
                <w:b/>
                <w:bCs/>
                <w:color w:val="auto"/>
                <w:sz w:val="24"/>
                <w:szCs w:val="24"/>
                <w:highlight w:val="none"/>
              </w:rPr>
              <w:t>工艺流程和产排污环节</w:t>
            </w:r>
          </w:p>
        </w:tc>
        <w:tc>
          <w:tcPr>
            <w:tcW w:w="4715" w:type="pct"/>
            <w:noWrap w:val="0"/>
            <w:vAlign w:val="top"/>
          </w:tcPr>
          <w:p>
            <w:pPr>
              <w:adjustRightInd w:val="0"/>
              <w:snapToGrid w:val="0"/>
              <w:spacing w:line="360" w:lineRule="auto"/>
              <w:rPr>
                <w:rFonts w:hint="default" w:ascii="Times New Roman" w:hAnsi="Times New Roman" w:cs="Times New Roman"/>
                <w:b/>
                <w:bCs/>
                <w:color w:val="auto"/>
                <w:sz w:val="28"/>
                <w:szCs w:val="28"/>
                <w:highlight w:val="none"/>
              </w:rPr>
            </w:pPr>
            <w:r>
              <w:rPr>
                <w:rFonts w:hint="eastAsia" w:cs="Times New Roman"/>
                <w:b/>
                <w:bCs/>
                <w:color w:val="auto"/>
                <w:sz w:val="28"/>
                <w:szCs w:val="28"/>
                <w:highlight w:val="none"/>
                <w:lang w:eastAsia="zh-CN"/>
              </w:rPr>
              <w:t>一、</w:t>
            </w:r>
            <w:r>
              <w:rPr>
                <w:rFonts w:hint="default" w:ascii="Times New Roman" w:hAnsi="Times New Roman" w:cs="Times New Roman"/>
                <w:b/>
                <w:bCs/>
                <w:color w:val="auto"/>
                <w:sz w:val="28"/>
                <w:szCs w:val="28"/>
                <w:highlight w:val="none"/>
              </w:rPr>
              <w:t>工艺流程简述：</w:t>
            </w:r>
          </w:p>
          <w:p>
            <w:pPr>
              <w:adjustRightInd w:val="0"/>
              <w:snapToGrid w:val="0"/>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（一）施工期</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项目施工期主要建设内容为一般土建工程，包含基础工程、主体工程、安装工程、</w:t>
            </w:r>
            <w:r>
              <w:rPr>
                <w:rFonts w:hint="eastAsia" w:cs="Times New Roman"/>
                <w:color w:val="auto"/>
                <w:sz w:val="24"/>
                <w:highlight w:val="none"/>
                <w:lang w:eastAsia="zh-CN"/>
              </w:rPr>
              <w:t>工程验收</w:t>
            </w:r>
            <w:r>
              <w:rPr>
                <w:rFonts w:hint="default" w:ascii="Times New Roman" w:hAnsi="Times New Roman" w:cs="Times New Roman"/>
                <w:color w:val="auto"/>
                <w:sz w:val="24"/>
                <w:highlight w:val="none"/>
              </w:rPr>
              <w:t>等。主要以扬尘、噪声、固体废物污染物为主，其排放量随工期和施工强度不同而有所变化。施工期的工艺流程及产污情况图示见图</w:t>
            </w:r>
            <w:r>
              <w:rPr>
                <w:rFonts w:hint="eastAsia" w:cs="Times New Roman"/>
                <w:color w:val="auto"/>
                <w:sz w:val="24"/>
                <w:highlight w:val="none"/>
                <w:lang w:val="en-US" w:eastAsia="zh-CN"/>
              </w:rPr>
              <w:t>2-3</w:t>
            </w:r>
            <w:r>
              <w:rPr>
                <w:rFonts w:hint="default" w:ascii="Times New Roman" w:hAnsi="Times New Roman" w:cs="Times New Roman"/>
                <w:color w:val="auto"/>
                <w:sz w:val="24"/>
                <w:highlight w:val="none"/>
              </w:rPr>
              <w:t>。</w:t>
            </w:r>
          </w:p>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27" o:spt="75" type="#_x0000_t75" style="height:102.75pt;width:410.85pt;" o:ole="t" filled="f" o:preferrelative="t" stroked="f" coordsize="21600,21600">
                  <v:path/>
                  <v:fill on="f" focussize="0,0"/>
                  <v:stroke on="f"/>
                  <v:imagedata r:id="rId17" o:title=""/>
                  <o:lock v:ext="edit" aspectratio="f"/>
                  <w10:wrap type="none"/>
                  <w10:anchorlock/>
                </v:shape>
                <o:OLEObject Type="Embed" ProgID="Visio.Drawing.15" ShapeID="_x0000_i1027" DrawAspect="Content" ObjectID="_1468075727" r:id="rId16">
                  <o:LockedField>false</o:LockedField>
                </o:OLEObject>
              </w:object>
            </w:r>
          </w:p>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
                <w:bCs/>
                <w:color w:val="auto"/>
                <w:sz w:val="21"/>
                <w:szCs w:val="21"/>
                <w:highlight w:val="none"/>
                <w:lang w:eastAsia="zh-CN"/>
              </w:rPr>
              <w:t>图</w:t>
            </w:r>
            <w:r>
              <w:rPr>
                <w:rFonts w:hint="eastAsia" w:cs="Times New Roman"/>
                <w:b/>
                <w:bCs/>
                <w:color w:val="auto"/>
                <w:sz w:val="21"/>
                <w:szCs w:val="21"/>
                <w:highlight w:val="none"/>
                <w:lang w:val="en-US" w:eastAsia="zh-CN"/>
              </w:rPr>
              <w:t>2-3</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 xml:space="preserve"> 施工期工艺流程及产污环节示意图</w:t>
            </w:r>
          </w:p>
          <w:p>
            <w:pPr>
              <w:adjustRightInd w:val="0"/>
              <w:snapToGrid w:val="0"/>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（二）运营期</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eastAsia="zh-CN"/>
              </w:rPr>
            </w:pPr>
            <w:r>
              <w:rPr>
                <w:rFonts w:hint="eastAsia" w:cs="Times New Roman"/>
                <w:color w:val="auto"/>
                <w:sz w:val="24"/>
                <w:highlight w:val="none"/>
                <w:lang w:val="en-US" w:eastAsia="zh-CN"/>
              </w:rPr>
              <w:t>项目工艺流程主要为搅拌、打浆、合模、制条、切割、烘干脱模等工序，不涉及</w:t>
            </w:r>
            <w:r>
              <w:rPr>
                <w:rFonts w:hint="eastAsia" w:ascii="Times New Roman" w:hAnsi="Times New Roman" w:cs="Times New Roman"/>
                <w:color w:val="auto"/>
                <w:sz w:val="24"/>
                <w:szCs w:val="24"/>
                <w:highlight w:val="none"/>
                <w:lang w:val="en-US" w:eastAsia="zh-CN"/>
              </w:rPr>
              <w:t>管束干燥机、</w:t>
            </w:r>
            <w:r>
              <w:rPr>
                <w:rFonts w:hint="eastAsia" w:cs="Times New Roman"/>
                <w:color w:val="auto"/>
                <w:sz w:val="24"/>
                <w:szCs w:val="24"/>
                <w:highlight w:val="none"/>
                <w:lang w:val="en-US" w:eastAsia="zh-CN"/>
              </w:rPr>
              <w:t>沸</w:t>
            </w:r>
            <w:r>
              <w:rPr>
                <w:rFonts w:hint="eastAsia" w:ascii="Times New Roman" w:hAnsi="Times New Roman" w:cs="Times New Roman"/>
                <w:color w:val="auto"/>
                <w:sz w:val="24"/>
                <w:szCs w:val="24"/>
                <w:highlight w:val="none"/>
                <w:lang w:val="en-US" w:eastAsia="zh-CN"/>
              </w:rPr>
              <w:t>腾炉（煅烧炉）、球磨机等</w:t>
            </w:r>
            <w:r>
              <w:rPr>
                <w:rFonts w:hint="eastAsia" w:cs="Times New Roman"/>
                <w:color w:val="auto"/>
                <w:sz w:val="24"/>
                <w:szCs w:val="24"/>
                <w:highlight w:val="none"/>
                <w:lang w:val="en-US" w:eastAsia="zh-CN"/>
              </w:rPr>
              <w:t>工序</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kern w:val="2"/>
                <w:sz w:val="24"/>
                <w:szCs w:val="24"/>
                <w:highlight w:val="none"/>
                <w:lang w:eastAsia="zh-CN"/>
              </w:rPr>
              <w:t>其</w:t>
            </w:r>
            <w:r>
              <w:rPr>
                <w:rFonts w:hint="default" w:ascii="Times New Roman" w:hAnsi="Times New Roman" w:eastAsia="宋体" w:cs="Times New Roman"/>
                <w:color w:val="auto"/>
                <w:kern w:val="2"/>
                <w:sz w:val="24"/>
                <w:szCs w:val="24"/>
                <w:highlight w:val="none"/>
                <w:lang w:eastAsia="zh-CN"/>
              </w:rPr>
              <w:t>工艺流程示意图如下：</w:t>
            </w:r>
          </w:p>
          <w:p>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highlight w:val="none"/>
                <w:lang w:val="en-US" w:eastAsia="zh-CN"/>
              </w:rPr>
            </w:pPr>
            <w:r>
              <w:rPr>
                <w:rFonts w:hint="default"/>
                <w:color w:val="auto"/>
                <w:highlight w:val="none"/>
                <w:lang w:val="en-US" w:eastAsia="zh-CN"/>
              </w:rPr>
              <w:object>
                <v:shape id="_x0000_i1028" o:spt="75" type="#_x0000_t75" style="height:333pt;width:240.8pt;" o:ole="t" filled="f" o:preferrelative="t" stroked="f" coordsize="21600,21600">
                  <v:path/>
                  <v:fill on="f" focussize="0,0"/>
                  <v:stroke on="f"/>
                  <v:imagedata r:id="rId19" o:title=""/>
                  <o:lock v:ext="edit" aspectratio="f"/>
                  <w10:wrap type="none"/>
                  <w10:anchorlock/>
                </v:shape>
                <o:OLEObject Type="Embed" ProgID="Visio.Drawing.15" ShapeID="_x0000_i1028" DrawAspect="Content" ObjectID="_1468075728" r:id="rId18">
                  <o:LockedField>false</o:LockedField>
                </o:OLEObject>
              </w:object>
            </w:r>
          </w:p>
          <w:p>
            <w:pPr>
              <w:jc w:val="center"/>
              <w:rPr>
                <w:rFonts w:hint="default"/>
                <w:color w:val="auto"/>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mc:AlternateContent>
                <mc:Choice Requires="wps">
                  <w:drawing>
                    <wp:anchor distT="0" distB="0" distL="114300" distR="114300" simplePos="0" relativeHeight="251683840" behindDoc="0" locked="0" layoutInCell="1" allowOverlap="1">
                      <wp:simplePos x="0" y="0"/>
                      <wp:positionH relativeFrom="column">
                        <wp:posOffset>4537710</wp:posOffset>
                      </wp:positionH>
                      <wp:positionV relativeFrom="paragraph">
                        <wp:posOffset>-209153125</wp:posOffset>
                      </wp:positionV>
                      <wp:extent cx="0" cy="360045"/>
                      <wp:effectExtent l="38100" t="0" r="38100" b="1905"/>
                      <wp:wrapNone/>
                      <wp:docPr id="71" name="直接箭头连接符 71"/>
                      <wp:cNvGraphicFramePr/>
                      <a:graphic xmlns:a="http://schemas.openxmlformats.org/drawingml/2006/main">
                        <a:graphicData uri="http://schemas.microsoft.com/office/word/2010/wordprocessingShape">
                          <wps:wsp>
                            <wps:cNvCnPr/>
                            <wps:spPr>
                              <a:xfrm>
                                <a:off x="0" y="0"/>
                                <a:ext cx="0" cy="3600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7.3pt;margin-top:-16468.75pt;height:28.35pt;width:0pt;z-index:251683840;mso-width-relative:page;mso-height-relative:page;" filled="f" stroked="t" coordsize="21600,21600" o:gfxdata="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ab8dreAAAAEQEAAA8AAAAAAAAAAQAgAAAAIgAA&#10;AGRycy9kb3ducmV2LnhtbFBLAQIUABQAAAAIAIdO4kAP4dy1AgIAAPEDAAAOAAAAAAAAAAEAIAAA&#10;AC0BAABkcnMvZTJvRG9jLnhtbFBLBQYAAAAABgAGAFkBAAChBQAAAAA=&#10;">
                      <v:fill on="f" focussize="0,0"/>
                      <v:stroke color="#000000" joinstyle="round" endarrow="block"/>
                      <v:imagedata o:title=""/>
                      <o:lock v:ext="edit" aspectratio="f"/>
                    </v:shape>
                  </w:pict>
                </mc:Fallback>
              </mc:AlternateContent>
            </w:r>
            <w:r>
              <w:rPr>
                <w:rFonts w:hint="default" w:ascii="Times New Roman" w:hAnsi="Times New Roman" w:cs="Times New Roman"/>
                <w:b/>
                <w:bCs/>
                <w:color w:val="auto"/>
                <w:sz w:val="21"/>
                <w:szCs w:val="21"/>
                <w:highlight w:val="none"/>
              </w:rPr>
              <w:t>图</w:t>
            </w:r>
            <w:r>
              <w:rPr>
                <w:rFonts w:hint="eastAsia" w:cs="Times New Roman"/>
                <w:b/>
                <w:bCs/>
                <w:color w:val="auto"/>
                <w:sz w:val="21"/>
                <w:szCs w:val="21"/>
                <w:highlight w:val="none"/>
                <w:lang w:val="en-US" w:eastAsia="zh-CN"/>
              </w:rPr>
              <w:t>2-4</w:t>
            </w:r>
            <w:r>
              <w:rPr>
                <w:rFonts w:hint="default" w:ascii="Times New Roman" w:hAnsi="Times New Roman" w:cs="Times New Roman"/>
                <w:b/>
                <w:bCs/>
                <w:color w:val="auto"/>
                <w:sz w:val="21"/>
                <w:szCs w:val="21"/>
                <w:highlight w:val="none"/>
              </w:rPr>
              <w:t xml:space="preserve"> 工艺流程及产污环节分析图</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1、原料入场</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eastAsia" w:cs="Times New Roman"/>
                <w:color w:val="auto"/>
                <w:sz w:val="24"/>
                <w:highlight w:val="none"/>
                <w:lang w:eastAsia="zh-CN"/>
              </w:rPr>
              <w:t>原料</w:t>
            </w:r>
            <w:r>
              <w:rPr>
                <w:rFonts w:hint="eastAsia" w:cs="Times New Roman"/>
                <w:color w:val="auto"/>
                <w:sz w:val="24"/>
                <w:highlight w:val="none"/>
                <w:lang w:val="en-US" w:eastAsia="zh-CN"/>
              </w:rPr>
              <w:t>主要为天然石膏粉，粒度80-120目，采用袋式包装，来源于周边市场外购。采用汽车运输至厂内原料库</w:t>
            </w:r>
            <w:r>
              <w:rPr>
                <w:rFonts w:hint="eastAsia" w:cs="Times New Roman"/>
                <w:color w:val="auto"/>
                <w:sz w:val="24"/>
                <w:highlight w:val="none"/>
                <w:lang w:eastAsia="zh-CN"/>
              </w:rPr>
              <w:t>，原料库采用全封闭措施。</w:t>
            </w:r>
            <w:r>
              <w:rPr>
                <w:rFonts w:hint="default" w:ascii="Times New Roman" w:hAnsi="Times New Roman" w:cs="Times New Roman"/>
                <w:color w:val="auto"/>
                <w:sz w:val="24"/>
                <w:highlight w:val="none"/>
              </w:rPr>
              <w:t>该过程产污环节主要为原料运输产生的扬尘G以及运输噪声 N。</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、上料</w:t>
            </w:r>
            <w:r>
              <w:rPr>
                <w:rFonts w:hint="eastAsia" w:cs="Times New Roman"/>
                <w:color w:val="auto"/>
                <w:sz w:val="24"/>
                <w:highlight w:val="none"/>
                <w:lang w:val="en-US" w:eastAsia="zh-CN"/>
              </w:rPr>
              <w:t>搅拌</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将袋装石膏粉采用人工方式转运至输送皮带，然后输送至搅拌机前置料口，经人工拆包后投入到上料口，将石膏粉充分混合均匀。该过程产污环节主要为上料、搅拌产生的粉尘G、拆包过程产生的废包装袋S以及设备运行噪声N。</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打浆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混匀后的石膏粉采用气力输送至打浆机中，同时按照比例加入水、缓凝剂、发泡剂等辅料，调配比例为石膏粉：水=10:3，缓凝剂、发泡剂微量，均为0.1%左右，充分打浆均匀后送至下一道工序。该过程主要产污环节为设备运行噪声N。</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4、</w:t>
            </w:r>
            <w:r>
              <w:rPr>
                <w:rFonts w:hint="eastAsia" w:cs="Times New Roman"/>
                <w:color w:val="auto"/>
                <w:sz w:val="24"/>
                <w:highlight w:val="none"/>
                <w:lang w:val="en-US" w:eastAsia="zh-CN"/>
              </w:rPr>
              <w:t>合模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项目设一台液压开合模机进行制条造型，设备使用前采用涂刷一层脱模剂，方便后续脱模。该过程主要产污环节为设备运行噪声N。</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5、制条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bCs/>
                <w:color w:val="auto"/>
                <w:sz w:val="24"/>
                <w:highlight w:val="none"/>
                <w:lang w:val="en-US" w:eastAsia="zh-CN"/>
              </w:rPr>
              <w:t>将</w:t>
            </w:r>
            <w:r>
              <w:rPr>
                <w:rFonts w:hint="eastAsia" w:ascii="Times New Roman" w:hAnsi="Times New Roman" w:cs="Times New Roman"/>
                <w:bCs/>
                <w:color w:val="auto"/>
                <w:sz w:val="24"/>
                <w:highlight w:val="none"/>
              </w:rPr>
              <w:t>搅拌均匀的石膏浆料通过</w:t>
            </w:r>
            <w:r>
              <w:rPr>
                <w:rFonts w:hint="eastAsia" w:cs="Times New Roman"/>
                <w:bCs/>
                <w:color w:val="auto"/>
                <w:sz w:val="24"/>
                <w:highlight w:val="none"/>
                <w:lang w:val="en-US" w:eastAsia="zh-CN"/>
              </w:rPr>
              <w:t>管道输送至制条机内，设备自动铺设网格布，</w:t>
            </w:r>
            <w:r>
              <w:rPr>
                <w:rFonts w:hint="eastAsia" w:ascii="Times New Roman" w:hAnsi="Times New Roman" w:cs="Times New Roman"/>
                <w:bCs/>
                <w:color w:val="auto"/>
                <w:sz w:val="24"/>
                <w:highlight w:val="none"/>
              </w:rPr>
              <w:t>同时将玻璃纤维加入石膏浆中起骨架作用，自然硬化固定</w:t>
            </w:r>
            <w:r>
              <w:rPr>
                <w:rFonts w:hint="eastAsia" w:ascii="Times New Roman" w:hAnsi="Times New Roman" w:cs="Times New Roman"/>
                <w:bCs/>
                <w:color w:val="auto"/>
                <w:sz w:val="24"/>
                <w:highlight w:val="none"/>
                <w:lang w:eastAsia="zh-CN"/>
              </w:rPr>
              <w:t>。</w:t>
            </w:r>
            <w:r>
              <w:rPr>
                <w:rFonts w:hint="eastAsia" w:cs="Times New Roman"/>
                <w:color w:val="auto"/>
                <w:sz w:val="24"/>
                <w:highlight w:val="none"/>
                <w:lang w:val="en-US" w:eastAsia="zh-CN"/>
              </w:rPr>
              <w:t>该过程主要产污环节为设备运行噪声N。</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s="Times New Roman"/>
                <w:color w:val="auto"/>
                <w:sz w:val="24"/>
                <w:highlight w:val="none"/>
                <w:lang w:val="en-US" w:eastAsia="zh-CN"/>
              </w:rPr>
            </w:pPr>
            <w:r>
              <w:rPr>
                <w:rFonts w:hint="eastAsia" w:cs="Times New Roman"/>
                <w:color w:val="auto"/>
                <w:sz w:val="24"/>
                <w:highlight w:val="none"/>
                <w:lang w:val="en-US" w:eastAsia="zh-CN"/>
              </w:rPr>
              <w:t>6、切割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Cs/>
                <w:color w:val="auto"/>
                <w:sz w:val="24"/>
                <w:highlight w:val="none"/>
                <w:lang w:val="en-US" w:eastAsia="zh-CN"/>
              </w:rPr>
            </w:pPr>
            <w:r>
              <w:rPr>
                <w:rFonts w:hint="eastAsia" w:cs="Times New Roman"/>
                <w:bCs/>
                <w:color w:val="auto"/>
                <w:sz w:val="24"/>
                <w:highlight w:val="none"/>
                <w:lang w:val="en-US" w:eastAsia="zh-CN"/>
              </w:rPr>
              <w:t>固定成型后的石膏线条转移至自动切割机中，按照产品要求的尺寸进行自动切割，由于刚成型的石膏线条含水量较大，切割过程中基本不产生粉尘。该工序主要产污环节为设备运行噪声N。</w:t>
            </w:r>
          </w:p>
          <w:p>
            <w:pPr>
              <w:pStyle w:val="19"/>
              <w:adjustRightInd w:val="0"/>
              <w:snapToGrid w:val="0"/>
              <w:spacing w:beforeLines="0" w:afterLines="0"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r>
              <w:rPr>
                <w:rFonts w:hint="eastAsia" w:ascii="Times New Roman" w:eastAsia="宋体" w:cs="Times New Roman"/>
                <w:color w:val="auto"/>
                <w:sz w:val="24"/>
                <w:szCs w:val="24"/>
                <w:highlight w:val="none"/>
                <w:lang w:val="en-US" w:eastAsia="zh-CN"/>
              </w:rPr>
              <w:t>烘干脱模</w:t>
            </w:r>
          </w:p>
          <w:p>
            <w:pPr>
              <w:adjustRightInd w:val="0"/>
              <w:snapToGri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切割后的石膏线条采用皮带输送机输送至烘干机，烘干机采用电加热，加热温度为50℃，石膏线条随皮带经过烘干机，烘干产生的水蒸气全部无组织排放。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该工序主要产污环节为不合格品S以及设备噪声N。</w:t>
            </w:r>
          </w:p>
          <w:p>
            <w:pPr>
              <w:adjustRightInd w:val="0"/>
              <w:snapToGrid w:val="0"/>
              <w:spacing w:line="360" w:lineRule="auto"/>
              <w:ind w:firstLine="480" w:firstLineChars="200"/>
              <w:rPr>
                <w:rFonts w:hint="eastAsia" w:cs="Times New Roman"/>
                <w:color w:val="auto"/>
                <w:sz w:val="24"/>
                <w:highlight w:val="none"/>
                <w:lang w:val="en-US" w:eastAsia="zh-CN"/>
              </w:rPr>
            </w:pP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rPr>
              <w:t>、成品</w:t>
            </w:r>
          </w:p>
          <w:p>
            <w:pPr>
              <w:pStyle w:val="19"/>
              <w:adjustRightInd w:val="0"/>
              <w:snapToGrid w:val="0"/>
              <w:spacing w:beforeLines="0" w:afterLines="0" w:line="360" w:lineRule="auto"/>
              <w:ind w:firstLine="480" w:firstLineChars="200"/>
              <w:jc w:val="both"/>
              <w:rPr>
                <w:rFonts w:hint="default" w:ascii="Times New Roman" w:hAnsi="Times New Roman" w:eastAsia="宋体" w:cs="Times New Roman"/>
                <w:color w:val="auto"/>
                <w:sz w:val="24"/>
                <w:szCs w:val="24"/>
                <w:highlight w:val="none"/>
              </w:rPr>
            </w:pPr>
            <w:r>
              <w:rPr>
                <w:rFonts w:hint="eastAsia" w:ascii="Times New Roman" w:eastAsia="宋体" w:cs="Times New Roman"/>
                <w:color w:val="auto"/>
                <w:sz w:val="24"/>
                <w:szCs w:val="24"/>
                <w:highlight w:val="none"/>
                <w:lang w:val="en-US" w:eastAsia="zh-CN"/>
              </w:rPr>
              <w:t>烘干后的产品经进一步晾晒后送至成品库包装储存，</w:t>
            </w:r>
            <w:r>
              <w:rPr>
                <w:rFonts w:hint="default" w:ascii="Times New Roman" w:hAnsi="Times New Roman" w:eastAsia="宋体" w:cs="Times New Roman"/>
                <w:color w:val="auto"/>
                <w:sz w:val="24"/>
                <w:szCs w:val="24"/>
                <w:highlight w:val="none"/>
              </w:rPr>
              <w:t>并采用汽车外售处理。</w:t>
            </w:r>
          </w:p>
          <w:p>
            <w:pPr>
              <w:pStyle w:val="19"/>
              <w:adjustRightInd w:val="0"/>
              <w:snapToGrid w:val="0"/>
              <w:spacing w:beforeLines="0" w:afterLines="0" w:line="360" w:lineRule="auto"/>
              <w:ind w:firstLine="480" w:firstLineChars="200"/>
              <w:jc w:val="both"/>
              <w:rPr>
                <w:rFonts w:hint="default" w:ascii="Times New Roman" w:hAnsi="Times New Roman" w:eastAsia="宋体" w:cs="Times New Roman"/>
                <w:color w:val="auto"/>
                <w:sz w:val="24"/>
                <w:szCs w:val="18"/>
                <w:highlight w:val="none"/>
              </w:rPr>
            </w:pPr>
            <w:r>
              <w:rPr>
                <w:rFonts w:hint="default" w:ascii="Times New Roman" w:hAnsi="Times New Roman" w:eastAsia="宋体" w:cs="Times New Roman"/>
                <w:color w:val="auto"/>
                <w:sz w:val="24"/>
                <w:szCs w:val="18"/>
                <w:highlight w:val="none"/>
              </w:rPr>
              <w:t>另外，项目生产过程会产生清洗平台废水、生活污水</w:t>
            </w:r>
            <w:r>
              <w:rPr>
                <w:rFonts w:hint="eastAsia" w:ascii="Times New Roman" w:eastAsia="宋体" w:cs="Times New Roman"/>
                <w:color w:val="auto"/>
                <w:sz w:val="24"/>
                <w:szCs w:val="18"/>
                <w:highlight w:val="none"/>
                <w:lang w:eastAsia="zh-CN"/>
              </w:rPr>
              <w:t>；</w:t>
            </w:r>
            <w:r>
              <w:rPr>
                <w:rFonts w:hint="default" w:ascii="Times New Roman" w:hAnsi="Times New Roman" w:eastAsia="宋体" w:cs="Times New Roman"/>
                <w:color w:val="auto"/>
                <w:sz w:val="24"/>
                <w:szCs w:val="18"/>
                <w:highlight w:val="none"/>
              </w:rPr>
              <w:t>设备运行产生的废机油、</w:t>
            </w:r>
            <w:r>
              <w:rPr>
                <w:rFonts w:hint="eastAsia" w:ascii="Times New Roman" w:eastAsia="宋体" w:cs="Times New Roman"/>
                <w:color w:val="auto"/>
                <w:sz w:val="24"/>
                <w:szCs w:val="18"/>
                <w:highlight w:val="none"/>
                <w:lang w:val="en-US" w:eastAsia="zh-CN"/>
              </w:rPr>
              <w:t>废机油桶、废棉纱；</w:t>
            </w:r>
            <w:r>
              <w:rPr>
                <w:rFonts w:hint="eastAsia" w:ascii="Times New Roman" w:hAnsi="Times New Roman" w:eastAsia="宋体" w:cs="Times New Roman"/>
                <w:color w:val="auto"/>
                <w:sz w:val="24"/>
                <w:szCs w:val="18"/>
                <w:highlight w:val="none"/>
                <w:lang w:eastAsia="zh-CN"/>
              </w:rPr>
              <w:t>布袋除尘器产生的除尘灰</w:t>
            </w:r>
            <w:r>
              <w:rPr>
                <w:rFonts w:hint="default" w:ascii="Times New Roman" w:hAnsi="Times New Roman" w:eastAsia="宋体" w:cs="Times New Roman"/>
                <w:color w:val="auto"/>
                <w:sz w:val="24"/>
                <w:szCs w:val="18"/>
                <w:highlight w:val="none"/>
              </w:rPr>
              <w:t>以及</w:t>
            </w:r>
            <w:r>
              <w:rPr>
                <w:rFonts w:hint="eastAsia" w:ascii="Times New Roman" w:eastAsia="宋体" w:cs="Times New Roman"/>
                <w:color w:val="auto"/>
                <w:sz w:val="24"/>
                <w:szCs w:val="18"/>
                <w:highlight w:val="none"/>
                <w:lang w:val="en-US" w:eastAsia="zh-CN"/>
              </w:rPr>
              <w:t>职工</w:t>
            </w:r>
            <w:r>
              <w:rPr>
                <w:rFonts w:hint="default" w:ascii="Times New Roman" w:hAnsi="Times New Roman" w:eastAsia="宋体" w:cs="Times New Roman"/>
                <w:color w:val="auto"/>
                <w:sz w:val="24"/>
                <w:szCs w:val="18"/>
                <w:highlight w:val="none"/>
              </w:rPr>
              <w:t>生活垃圾等。</w:t>
            </w:r>
          </w:p>
          <w:p>
            <w:pPr>
              <w:adjustRightInd w:val="0"/>
              <w:snapToGrid w:val="0"/>
              <w:spacing w:line="360" w:lineRule="auto"/>
              <w:rPr>
                <w:rFonts w:hint="default" w:ascii="Times New Roman" w:hAnsi="Times New Roman" w:cs="Times New Roman"/>
                <w:b/>
                <w:color w:val="auto"/>
                <w:sz w:val="30"/>
                <w:szCs w:val="30"/>
                <w:highlight w:val="none"/>
              </w:rPr>
            </w:pPr>
            <w:r>
              <w:rPr>
                <w:rFonts w:hint="default" w:ascii="Times New Roman" w:hAnsi="Times New Roman" w:cs="Times New Roman"/>
                <w:b/>
                <w:color w:val="auto"/>
                <w:sz w:val="30"/>
                <w:szCs w:val="30"/>
                <w:highlight w:val="none"/>
              </w:rPr>
              <w:t>主要污染工序：</w:t>
            </w:r>
          </w:p>
          <w:p>
            <w:pPr>
              <w:adjustRightInd w:val="0"/>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（一）施工期主要污染工序</w:t>
            </w:r>
          </w:p>
          <w:p>
            <w:pPr>
              <w:pStyle w:val="37"/>
              <w:widowControl/>
              <w:adjustRightInd w:val="0"/>
              <w:snapToGrid w:val="0"/>
              <w:spacing w:line="360" w:lineRule="auto"/>
              <w:ind w:firstLine="482"/>
              <w:textAlignment w:val="baseline"/>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1、废气</w:t>
            </w:r>
          </w:p>
          <w:p>
            <w:pPr>
              <w:pStyle w:val="37"/>
              <w:widowControl/>
              <w:adjustRightInd w:val="0"/>
              <w:snapToGrid w:val="0"/>
              <w:spacing w:line="360" w:lineRule="auto"/>
              <w:ind w:firstLine="48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施工期废气主要是施工扬尘和机械尾气。</w:t>
            </w:r>
          </w:p>
          <w:p>
            <w:pPr>
              <w:pStyle w:val="37"/>
              <w:widowControl/>
              <w:adjustRightInd w:val="0"/>
              <w:snapToGrid w:val="0"/>
              <w:spacing w:line="360" w:lineRule="auto"/>
              <w:ind w:firstLine="482"/>
              <w:textAlignment w:val="baseline"/>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2、废水</w:t>
            </w:r>
          </w:p>
          <w:p>
            <w:pPr>
              <w:pStyle w:val="37"/>
              <w:widowControl/>
              <w:adjustRightInd w:val="0"/>
              <w:snapToGrid w:val="0"/>
              <w:spacing w:line="360" w:lineRule="auto"/>
              <w:ind w:firstLine="480"/>
              <w:textAlignment w:val="baseline"/>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施工期废水主要为施工人员生活污水、设备冲洗废水。</w:t>
            </w:r>
          </w:p>
          <w:p>
            <w:pPr>
              <w:pStyle w:val="37"/>
              <w:widowControl/>
              <w:adjustRightInd w:val="0"/>
              <w:snapToGrid w:val="0"/>
              <w:spacing w:line="360" w:lineRule="auto"/>
              <w:ind w:firstLine="482"/>
              <w:textAlignment w:val="baseline"/>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3、噪声</w:t>
            </w:r>
          </w:p>
          <w:p>
            <w:pPr>
              <w:pStyle w:val="37"/>
              <w:widowControl/>
              <w:adjustRightInd w:val="0"/>
              <w:snapToGrid w:val="0"/>
              <w:spacing w:line="360" w:lineRule="auto"/>
              <w:ind w:firstLine="480"/>
              <w:textAlignment w:val="baseline"/>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施工设备、机械产生的噪声和运输车辆产生的交通噪声。</w:t>
            </w:r>
          </w:p>
          <w:p>
            <w:pPr>
              <w:pStyle w:val="37"/>
              <w:widowControl/>
              <w:adjustRightInd w:val="0"/>
              <w:snapToGrid w:val="0"/>
              <w:spacing w:line="360" w:lineRule="auto"/>
              <w:ind w:firstLine="482"/>
              <w:textAlignment w:val="baseline"/>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4、固体废物</w:t>
            </w:r>
          </w:p>
          <w:p>
            <w:pPr>
              <w:pStyle w:val="23"/>
              <w:snapToGrid w:val="0"/>
              <w:spacing w:line="360" w:lineRule="auto"/>
              <w:ind w:firstLine="480" w:firstLineChars="20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建筑垃圾、工程渣土和施工人员的生活垃圾等。</w:t>
            </w:r>
          </w:p>
          <w:p>
            <w:pPr>
              <w:pStyle w:val="23"/>
              <w:snapToGrid w:val="0"/>
              <w:spacing w:line="360" w:lineRule="auto"/>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（二）运营期主要污染工序</w:t>
            </w:r>
          </w:p>
          <w:p>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1、废气</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（1）运输过程扬尘；</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rPr>
              <w:t>（2）</w:t>
            </w:r>
            <w:r>
              <w:rPr>
                <w:rFonts w:hint="eastAsia" w:cs="Times New Roman"/>
                <w:color w:val="auto"/>
                <w:sz w:val="24"/>
                <w:highlight w:val="none"/>
                <w:lang w:val="en-US" w:eastAsia="zh-CN"/>
              </w:rPr>
              <w:t>上料、搅拌</w:t>
            </w:r>
            <w:r>
              <w:rPr>
                <w:rFonts w:hint="default" w:ascii="Times New Roman" w:hAnsi="Times New Roman" w:cs="Times New Roman"/>
                <w:color w:val="auto"/>
                <w:sz w:val="24"/>
                <w:highlight w:val="none"/>
              </w:rPr>
              <w:t>粉尘。</w:t>
            </w:r>
          </w:p>
          <w:p>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2、废水</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eastAsia" w:cs="Times New Roman"/>
                <w:color w:val="auto"/>
                <w:sz w:val="24"/>
                <w:highlight w:val="none"/>
                <w:lang w:val="en-US" w:eastAsia="zh-CN"/>
              </w:rPr>
              <w:t>设备及模具清洗</w:t>
            </w:r>
            <w:r>
              <w:rPr>
                <w:rFonts w:hint="default" w:ascii="Times New Roman" w:hAnsi="Times New Roman" w:cs="Times New Roman"/>
                <w:color w:val="auto"/>
                <w:sz w:val="24"/>
                <w:highlight w:val="none"/>
              </w:rPr>
              <w:t>废水；</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（2）洗车平台废水；</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（3）职工生活污水。</w:t>
            </w:r>
          </w:p>
          <w:p>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3、固体废物</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eastAsia" w:cs="Times New Roman"/>
                <w:color w:val="auto"/>
                <w:sz w:val="24"/>
                <w:highlight w:val="none"/>
                <w:lang w:val="en-US" w:eastAsia="zh-CN"/>
              </w:rPr>
              <w:t>废包装材料</w:t>
            </w:r>
            <w:r>
              <w:rPr>
                <w:rFonts w:hint="default" w:ascii="Times New Roman" w:hAnsi="Times New Roman" w:cs="Times New Roman"/>
                <w:color w:val="auto"/>
                <w:sz w:val="24"/>
                <w:highlight w:val="none"/>
              </w:rPr>
              <w:t>；</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不合格品；</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布袋除尘器收集的除尘灰；</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4</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设备运行产生的废机油、废机油桶</w:t>
            </w:r>
            <w:r>
              <w:rPr>
                <w:rFonts w:hint="eastAsia" w:cs="Times New Roman"/>
                <w:color w:val="auto"/>
                <w:sz w:val="24"/>
                <w:highlight w:val="none"/>
                <w:lang w:eastAsia="zh-CN"/>
              </w:rPr>
              <w:t>、</w:t>
            </w:r>
            <w:r>
              <w:rPr>
                <w:rFonts w:hint="eastAsia" w:cs="Times New Roman"/>
                <w:color w:val="auto"/>
                <w:sz w:val="24"/>
                <w:highlight w:val="none"/>
                <w:lang w:val="en-US" w:eastAsia="zh-CN"/>
              </w:rPr>
              <w:t>废棉纱</w:t>
            </w:r>
            <w:r>
              <w:rPr>
                <w:rFonts w:hint="default" w:ascii="Times New Roman" w:hAnsi="Times New Roman" w:cs="Times New Roman"/>
                <w:color w:val="auto"/>
                <w:sz w:val="24"/>
                <w:highlight w:val="none"/>
              </w:rPr>
              <w:t>；</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）职工生活垃圾。</w:t>
            </w:r>
          </w:p>
          <w:p>
            <w:pPr>
              <w:adjustRightInd w:val="0"/>
              <w:snapToGrid w:val="0"/>
              <w:spacing w:line="360" w:lineRule="auto"/>
              <w:ind w:firstLine="482" w:firstLineChars="200"/>
              <w:rPr>
                <w:rFonts w:ascii="宋体" w:hAnsi="宋体"/>
                <w:bCs/>
                <w:color w:val="auto"/>
                <w:szCs w:val="21"/>
                <w:highlight w:val="none"/>
              </w:rPr>
            </w:pPr>
            <w:r>
              <w:rPr>
                <w:rFonts w:hint="default" w:ascii="Times New Roman" w:hAnsi="Times New Roman" w:cs="Times New Roman"/>
                <w:b/>
                <w:bCs/>
                <w:color w:val="auto"/>
                <w:sz w:val="24"/>
                <w:highlight w:val="none"/>
              </w:rPr>
              <w:t>4、噪声</w:t>
            </w:r>
            <w:r>
              <w:rPr>
                <w:rFonts w:hint="eastAsia" w:cs="Times New Roman"/>
                <w:b/>
                <w:bCs/>
                <w:color w:val="auto"/>
                <w:sz w:val="24"/>
                <w:highlight w:val="none"/>
                <w:lang w:eastAsia="zh-CN"/>
              </w:rPr>
              <w:t>：</w:t>
            </w:r>
            <w:r>
              <w:rPr>
                <w:rFonts w:hint="default" w:ascii="Times New Roman" w:hAnsi="Times New Roman" w:cs="Times New Roman"/>
                <w:color w:val="auto"/>
                <w:sz w:val="24"/>
                <w:highlight w:val="none"/>
              </w:rPr>
              <w:t>主要为设备运行噪声及车辆运输噪声等。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6" w:hRule="atLeast"/>
          <w:jc w:val="center"/>
        </w:trPr>
        <w:tc>
          <w:tcPr>
            <w:tcW w:w="284" w:type="pct"/>
            <w:noWrap w:val="0"/>
            <w:vAlign w:val="center"/>
          </w:tcPr>
          <w:p>
            <w:pPr>
              <w:pStyle w:val="20"/>
              <w:adjustRightInd w:val="0"/>
              <w:snapToGrid w:val="0"/>
              <w:spacing w:before="0" w:beforeAutospacing="0" w:after="0" w:afterAutospacing="0"/>
              <w:jc w:val="center"/>
              <w:rPr>
                <w:rFonts w:cs="宋体"/>
                <w:color w:val="auto"/>
                <w:sz w:val="21"/>
                <w:szCs w:val="21"/>
                <w:highlight w:val="none"/>
              </w:rPr>
            </w:pPr>
            <w:r>
              <w:rPr>
                <w:rFonts w:hint="eastAsia" w:cs="宋体"/>
                <w:b/>
                <w:bCs w:val="0"/>
                <w:color w:val="auto"/>
                <w:kern w:val="2"/>
                <w:sz w:val="24"/>
                <w:szCs w:val="24"/>
                <w:highlight w:val="none"/>
              </w:rPr>
              <w:t>与项目有关的原有环境污染问题</w:t>
            </w:r>
          </w:p>
        </w:tc>
        <w:tc>
          <w:tcPr>
            <w:tcW w:w="4715" w:type="pct"/>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rPr>
              <w:t>本项目租用</w:t>
            </w:r>
            <w:r>
              <w:rPr>
                <w:rFonts w:hint="default" w:ascii="Times New Roman" w:hAnsi="Times New Roman" w:eastAsia="宋体" w:cs="Times New Roman"/>
                <w:color w:val="auto"/>
                <w:sz w:val="24"/>
                <w:szCs w:val="24"/>
                <w:highlight w:val="none"/>
                <w:lang w:val="en-US" w:eastAsia="zh-CN"/>
              </w:rPr>
              <w:t>恒山二选厂旧址，该选厂无环保手续。根据现场勘察，该选厂2005建厂，2008年停产，生产规模为3万吨，主要用于铁矿洗选，不涉及有色金属。项目占地原有用途为矿石堆场，目前构筑物已全部拆除，无历史环境问题遗留。</w:t>
            </w:r>
          </w:p>
          <w:p>
            <w:pPr>
              <w:pStyle w:val="5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对照</w:t>
            </w:r>
            <w:r>
              <w:rPr>
                <w:rFonts w:hint="default" w:ascii="Times New Roman" w:hAnsi="Times New Roman" w:eastAsia="宋体" w:cs="Times New Roman"/>
                <w:color w:val="auto"/>
                <w:sz w:val="24"/>
                <w:szCs w:val="24"/>
                <w:highlight w:val="none"/>
              </w:rPr>
              <w:t>《山西省土壤污染防治条例》</w:t>
            </w:r>
            <w:r>
              <w:rPr>
                <w:rFonts w:hint="eastAsia" w:cs="Times New Roman"/>
                <w:color w:val="auto"/>
                <w:sz w:val="24"/>
                <w:szCs w:val="24"/>
                <w:highlight w:val="none"/>
                <w:lang w:eastAsia="zh-CN"/>
              </w:rPr>
              <w:t>的</w:t>
            </w:r>
            <w:r>
              <w:rPr>
                <w:rFonts w:hint="eastAsia" w:cs="Times New Roman"/>
                <w:color w:val="auto"/>
                <w:sz w:val="24"/>
                <w:szCs w:val="24"/>
                <w:highlight w:val="none"/>
                <w:lang w:val="en-US" w:eastAsia="zh-CN"/>
              </w:rPr>
              <w:t>相关规定，</w:t>
            </w:r>
            <w:r>
              <w:rPr>
                <w:rFonts w:hint="default" w:ascii="Times New Roman" w:hAnsi="Times New Roman" w:eastAsia="宋体" w:cs="Times New Roman"/>
                <w:color w:val="auto"/>
                <w:sz w:val="24"/>
                <w:szCs w:val="24"/>
                <w:highlight w:val="none"/>
                <w:lang w:val="en-US" w:eastAsia="zh-CN"/>
              </w:rPr>
              <w:t>本项目原有场地用途为铁选厂，不属于土壤重点监管单位</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项目租赁旧厂用于建设石膏线条生产项目，用地性质不发生变化，因此，不需要开展土壤场地调查，项目选址可行。</w:t>
            </w:r>
          </w:p>
          <w:p>
            <w:pPr>
              <w:pStyle w:val="5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rPr>
                <w:rFonts w:hint="eastAsia" w:cs="Times New Roman"/>
                <w:color w:val="auto"/>
                <w:szCs w:val="24"/>
                <w:highlight w:val="none"/>
                <w:lang w:val="en-US" w:eastAsia="zh-CN"/>
              </w:rPr>
            </w:pPr>
          </w:p>
          <w:p>
            <w:pPr>
              <w:pStyle w:val="5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rPr>
                <w:rFonts w:hint="eastAsia"/>
                <w:color w:val="auto"/>
                <w:highlight w:val="none"/>
                <w:lang w:eastAsia="zh-CN"/>
              </w:rPr>
            </w:pPr>
          </w:p>
        </w:tc>
      </w:tr>
    </w:tbl>
    <w:p>
      <w:pPr>
        <w:pStyle w:val="20"/>
        <w:jc w:val="center"/>
        <w:rPr>
          <w:rFonts w:ascii="黑体" w:hAnsi="黑体" w:eastAsia="黑体"/>
          <w:snapToGrid w:val="0"/>
          <w:color w:val="auto"/>
          <w:sz w:val="36"/>
          <w:szCs w:val="36"/>
          <w:highlight w:val="none"/>
        </w:rPr>
        <w:sectPr>
          <w:pgSz w:w="11906" w:h="16838"/>
          <w:pgMar w:top="1701" w:right="1417" w:bottom="1701" w:left="1417"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0"/>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黑体" w:hAnsi="黑体" w:eastAsia="黑体" w:cs="Times New Roman"/>
          <w:snapToGrid w:val="0"/>
          <w:color w:val="auto"/>
          <w:sz w:val="32"/>
          <w:szCs w:val="32"/>
          <w:highlight w:val="none"/>
        </w:rPr>
      </w:pPr>
      <w:r>
        <w:rPr>
          <w:rFonts w:hint="eastAsia" w:ascii="黑体" w:hAnsi="黑体" w:eastAsia="黑体" w:cs="Times New Roman"/>
          <w:snapToGrid w:val="0"/>
          <w:color w:val="auto"/>
          <w:sz w:val="32"/>
          <w:szCs w:val="32"/>
          <w:highlight w:val="none"/>
        </w:rPr>
        <w:t>三、区域环境质量现状、环境保护目标及评价标准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32" w:type="dxa"/>
            <w:noWrap w:val="0"/>
            <w:vAlign w:val="center"/>
          </w:tcPr>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区域</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环境</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质量</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szCs w:val="24"/>
                <w:highlight w:val="none"/>
              </w:rPr>
              <w:t>现状</w:t>
            </w:r>
          </w:p>
        </w:tc>
        <w:tc>
          <w:tcPr>
            <w:tcW w:w="8857" w:type="dxa"/>
            <w:noWrap w:val="0"/>
            <w:vAlign w:val="center"/>
          </w:tcPr>
          <w:p>
            <w:pPr>
              <w:widowControl/>
              <w:adjustRightInd w:val="0"/>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1、环境空气质量现状</w:t>
            </w:r>
          </w:p>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1.1区域环境质量状况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本次评价收集了繁峙县20</w:t>
            </w:r>
            <w:r>
              <w:rPr>
                <w:rFonts w:hint="eastAsia" w:cs="Times New Roman"/>
                <w:bCs/>
                <w:color w:val="auto"/>
                <w:sz w:val="24"/>
                <w:highlight w:val="none"/>
                <w:lang w:val="en-US" w:eastAsia="zh-CN"/>
              </w:rPr>
              <w:t>21</w:t>
            </w:r>
            <w:r>
              <w:rPr>
                <w:rFonts w:hint="default" w:ascii="Times New Roman" w:hAnsi="Times New Roman" w:cs="Times New Roman"/>
                <w:bCs/>
                <w:color w:val="auto"/>
                <w:sz w:val="24"/>
                <w:highlight w:val="none"/>
              </w:rPr>
              <w:t>年环境空气例行监测数据，统计结果见表3-1。</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表3-1 繁峙县20</w:t>
            </w:r>
            <w:r>
              <w:rPr>
                <w:rFonts w:hint="eastAsia" w:cs="Times New Roman"/>
                <w:b/>
                <w:color w:val="auto"/>
                <w:szCs w:val="21"/>
                <w:highlight w:val="none"/>
                <w:lang w:val="en-US" w:eastAsia="zh-CN"/>
              </w:rPr>
              <w:t>21</w:t>
            </w:r>
            <w:r>
              <w:rPr>
                <w:rFonts w:hint="default" w:ascii="Times New Roman" w:hAnsi="Times New Roman" w:cs="Times New Roman"/>
                <w:b/>
                <w:color w:val="auto"/>
                <w:szCs w:val="21"/>
                <w:highlight w:val="none"/>
              </w:rPr>
              <w:t>年例行监测数据</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1562"/>
              <w:gridCol w:w="1761"/>
              <w:gridCol w:w="1430"/>
              <w:gridCol w:w="1430"/>
              <w:gridCol w:w="14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6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污染物</w:t>
                  </w:r>
                </w:p>
              </w:tc>
              <w:tc>
                <w:tcPr>
                  <w:tcW w:w="910"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评价指标</w:t>
                  </w:r>
                </w:p>
              </w:tc>
              <w:tc>
                <w:tcPr>
                  <w:tcW w:w="1026"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现状浓度值</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标准值</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rFonts w:hint="eastAsia" w:eastAsia="宋体"/>
                      <w:bCs w:val="0"/>
                      <w:color w:val="auto"/>
                      <w:sz w:val="21"/>
                      <w:szCs w:val="21"/>
                      <w:highlight w:val="none"/>
                      <w:lang w:val="en-US" w:eastAsia="zh-CN"/>
                    </w:rPr>
                  </w:pPr>
                  <w:r>
                    <w:rPr>
                      <w:rFonts w:hint="eastAsia"/>
                      <w:bCs w:val="0"/>
                      <w:color w:val="auto"/>
                      <w:sz w:val="21"/>
                      <w:szCs w:val="21"/>
                      <w:highlight w:val="none"/>
                      <w:lang w:val="en-US" w:eastAsia="zh-CN"/>
                    </w:rPr>
                    <w:t>占标率（%）</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bCs w:val="0"/>
                      <w:color w:val="auto"/>
                      <w:sz w:val="21"/>
                      <w:szCs w:val="21"/>
                      <w:highlight w:val="none"/>
                      <w:lang w:val="en-US"/>
                    </w:rPr>
                    <w:t>PM</w:t>
                  </w:r>
                  <w:r>
                    <w:rPr>
                      <w:bCs w:val="0"/>
                      <w:color w:val="auto"/>
                      <w:sz w:val="21"/>
                      <w:szCs w:val="21"/>
                      <w:highlight w:val="none"/>
                      <w:vertAlign w:val="subscript"/>
                      <w:lang w:val="en-US"/>
                    </w:rPr>
                    <w:t>10</w:t>
                  </w:r>
                </w:p>
              </w:tc>
              <w:tc>
                <w:tcPr>
                  <w:tcW w:w="910"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bCs w:val="0"/>
                      <w:color w:val="auto"/>
                      <w:sz w:val="21"/>
                      <w:szCs w:val="21"/>
                      <w:highlight w:val="none"/>
                      <w:lang w:val="en-US"/>
                    </w:rPr>
                    <w:t>年</w:t>
                  </w:r>
                  <w:r>
                    <w:rPr>
                      <w:rFonts w:hint="eastAsia"/>
                      <w:bCs w:val="0"/>
                      <w:color w:val="auto"/>
                      <w:sz w:val="21"/>
                      <w:szCs w:val="21"/>
                      <w:highlight w:val="none"/>
                      <w:lang w:val="en-US"/>
                    </w:rPr>
                    <w:t>平均</w:t>
                  </w:r>
                </w:p>
              </w:tc>
              <w:tc>
                <w:tcPr>
                  <w:tcW w:w="1026" w:type="pct"/>
                  <w:tcBorders>
                    <w:tl2br w:val="nil"/>
                    <w:tr2bl w:val="nil"/>
                  </w:tcBorders>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0"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78</w:t>
                  </w:r>
                  <w:r>
                    <w:rPr>
                      <w:rFonts w:hint="default" w:ascii="Times New Roman" w:hAnsi="Times New Roman" w:eastAsia="宋体" w:cs="Times New Roman"/>
                      <w:b w:val="0"/>
                      <w:bCs w:val="0"/>
                      <w:color w:val="auto"/>
                      <w:sz w:val="21"/>
                      <w:szCs w:val="21"/>
                      <w:highlight w:val="none"/>
                      <w:lang w:val="en-US" w:eastAsia="zh-CN"/>
                    </w:rPr>
                    <w:t>μg/m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eastAsia="zh-CN"/>
                    </w:rPr>
                    <w:t>70</w:t>
                  </w:r>
                  <w:r>
                    <w:rPr>
                      <w:bCs w:val="0"/>
                      <w:color w:val="auto"/>
                      <w:sz w:val="21"/>
                      <w:szCs w:val="21"/>
                      <w:highlight w:val="none"/>
                      <w:lang w:val="en-US"/>
                    </w:rPr>
                    <w:t>μg/m</w:t>
                  </w:r>
                  <w:r>
                    <w:rPr>
                      <w:bCs w:val="0"/>
                      <w:color w:val="auto"/>
                      <w:sz w:val="21"/>
                      <w:szCs w:val="21"/>
                      <w:highlight w:val="none"/>
                      <w:vertAlign w:val="superscript"/>
                      <w:lang w:val="en-US"/>
                    </w:rPr>
                    <w:t>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rFonts w:hint="default" w:eastAsia="宋体"/>
                      <w:bCs w:val="0"/>
                      <w:color w:val="auto"/>
                      <w:sz w:val="21"/>
                      <w:szCs w:val="21"/>
                      <w:highlight w:val="none"/>
                      <w:lang w:val="en-US" w:eastAsia="zh-CN"/>
                    </w:rPr>
                  </w:pPr>
                  <w:r>
                    <w:rPr>
                      <w:rFonts w:hint="eastAsia" w:cs="Times New Roman"/>
                      <w:bCs w:val="0"/>
                      <w:color w:val="auto"/>
                      <w:sz w:val="21"/>
                      <w:szCs w:val="21"/>
                      <w:highlight w:val="none"/>
                      <w:lang w:val="en-US" w:eastAsia="zh-CN"/>
                    </w:rPr>
                    <w:t>111.43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bCs w:val="0"/>
                      <w:color w:val="auto"/>
                      <w:sz w:val="21"/>
                      <w:szCs w:val="21"/>
                      <w:highlight w:val="none"/>
                      <w:lang w:val="en-US"/>
                    </w:rPr>
                    <w:t>SO</w:t>
                  </w:r>
                  <w:r>
                    <w:rPr>
                      <w:bCs w:val="0"/>
                      <w:color w:val="auto"/>
                      <w:sz w:val="21"/>
                      <w:szCs w:val="21"/>
                      <w:highlight w:val="none"/>
                      <w:vertAlign w:val="subscript"/>
                      <w:lang w:val="en-US"/>
                    </w:rPr>
                    <w:t>2</w:t>
                  </w:r>
                </w:p>
              </w:tc>
              <w:tc>
                <w:tcPr>
                  <w:tcW w:w="910"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bCs w:val="0"/>
                      <w:color w:val="auto"/>
                      <w:sz w:val="21"/>
                      <w:szCs w:val="21"/>
                      <w:highlight w:val="none"/>
                      <w:lang w:val="en-US"/>
                    </w:rPr>
                    <w:t>年</w:t>
                  </w:r>
                  <w:r>
                    <w:rPr>
                      <w:rFonts w:hint="eastAsia"/>
                      <w:bCs w:val="0"/>
                      <w:color w:val="auto"/>
                      <w:sz w:val="21"/>
                      <w:szCs w:val="21"/>
                      <w:highlight w:val="none"/>
                      <w:lang w:val="en-US"/>
                    </w:rPr>
                    <w:t>平均</w:t>
                  </w:r>
                </w:p>
              </w:tc>
              <w:tc>
                <w:tcPr>
                  <w:tcW w:w="1026" w:type="pct"/>
                  <w:tcBorders>
                    <w:tl2br w:val="nil"/>
                    <w:tr2bl w:val="nil"/>
                  </w:tcBorders>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0"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23</w:t>
                  </w:r>
                  <w:r>
                    <w:rPr>
                      <w:rFonts w:hint="default" w:ascii="Times New Roman" w:hAnsi="Times New Roman" w:eastAsia="宋体" w:cs="Times New Roman"/>
                      <w:b w:val="0"/>
                      <w:bCs w:val="0"/>
                      <w:color w:val="auto"/>
                      <w:sz w:val="21"/>
                      <w:szCs w:val="21"/>
                      <w:highlight w:val="none"/>
                      <w:lang w:val="en-US" w:eastAsia="zh-CN"/>
                    </w:rPr>
                    <w:t>μg/m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bCs w:val="0"/>
                      <w:color w:val="auto"/>
                      <w:sz w:val="21"/>
                      <w:szCs w:val="21"/>
                      <w:highlight w:val="none"/>
                      <w:lang w:val="en-US"/>
                    </w:rPr>
                    <w:t>60μg/m</w:t>
                  </w:r>
                  <w:r>
                    <w:rPr>
                      <w:bCs w:val="0"/>
                      <w:color w:val="auto"/>
                      <w:sz w:val="21"/>
                      <w:szCs w:val="21"/>
                      <w:highlight w:val="none"/>
                      <w:vertAlign w:val="superscript"/>
                      <w:lang w:val="en-US"/>
                    </w:rPr>
                    <w:t>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rFonts w:hint="default" w:eastAsia="宋体"/>
                      <w:bCs w:val="0"/>
                      <w:color w:val="auto"/>
                      <w:sz w:val="21"/>
                      <w:szCs w:val="21"/>
                      <w:highlight w:val="none"/>
                      <w:lang w:val="en-US" w:eastAsia="zh-CN"/>
                    </w:rPr>
                  </w:pPr>
                  <w:r>
                    <w:rPr>
                      <w:rFonts w:hint="eastAsia" w:cs="Times New Roman"/>
                      <w:bCs w:val="0"/>
                      <w:color w:val="auto"/>
                      <w:sz w:val="21"/>
                      <w:szCs w:val="21"/>
                      <w:highlight w:val="none"/>
                      <w:lang w:val="en-US" w:eastAsia="zh-CN"/>
                    </w:rPr>
                    <w:t>38.33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rFonts w:hint="default" w:eastAsia="宋体"/>
                      <w:bCs w:val="0"/>
                      <w:color w:val="auto"/>
                      <w:sz w:val="21"/>
                      <w:szCs w:val="21"/>
                      <w:highlight w:val="none"/>
                      <w:lang w:val="en-US" w:eastAsia="zh-CN"/>
                    </w:rPr>
                  </w:pPr>
                  <w:r>
                    <w:rPr>
                      <w:rFonts w:hint="eastAsia"/>
                      <w:bCs w:val="0"/>
                      <w:color w:val="auto"/>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bCs w:val="0"/>
                      <w:color w:val="auto"/>
                      <w:sz w:val="21"/>
                      <w:szCs w:val="21"/>
                      <w:highlight w:val="none"/>
                      <w:lang w:val="en-US"/>
                    </w:rPr>
                    <w:t>NO</w:t>
                  </w:r>
                  <w:r>
                    <w:rPr>
                      <w:bCs w:val="0"/>
                      <w:color w:val="auto"/>
                      <w:sz w:val="21"/>
                      <w:szCs w:val="21"/>
                      <w:highlight w:val="none"/>
                      <w:vertAlign w:val="subscript"/>
                      <w:lang w:val="en-US"/>
                    </w:rPr>
                    <w:t>2</w:t>
                  </w:r>
                </w:p>
              </w:tc>
              <w:tc>
                <w:tcPr>
                  <w:tcW w:w="910"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bCs w:val="0"/>
                      <w:color w:val="auto"/>
                      <w:sz w:val="21"/>
                      <w:szCs w:val="21"/>
                      <w:highlight w:val="none"/>
                      <w:lang w:val="en-US"/>
                    </w:rPr>
                    <w:t>年</w:t>
                  </w:r>
                  <w:r>
                    <w:rPr>
                      <w:rFonts w:hint="eastAsia"/>
                      <w:bCs w:val="0"/>
                      <w:color w:val="auto"/>
                      <w:sz w:val="21"/>
                      <w:szCs w:val="21"/>
                      <w:highlight w:val="none"/>
                      <w:lang w:val="en-US"/>
                    </w:rPr>
                    <w:t>平均</w:t>
                  </w:r>
                </w:p>
              </w:tc>
              <w:tc>
                <w:tcPr>
                  <w:tcW w:w="1026" w:type="pct"/>
                  <w:tcBorders>
                    <w:tl2br w:val="nil"/>
                    <w:tr2bl w:val="nil"/>
                  </w:tcBorders>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0"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27</w:t>
                  </w:r>
                  <w:r>
                    <w:rPr>
                      <w:rFonts w:hint="default" w:ascii="Times New Roman" w:hAnsi="Times New Roman" w:eastAsia="宋体" w:cs="Times New Roman"/>
                      <w:b w:val="0"/>
                      <w:bCs w:val="0"/>
                      <w:color w:val="auto"/>
                      <w:sz w:val="21"/>
                      <w:szCs w:val="21"/>
                      <w:highlight w:val="none"/>
                      <w:lang w:val="en-US" w:eastAsia="zh-CN"/>
                    </w:rPr>
                    <w:t>μg/m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bCs w:val="0"/>
                      <w:color w:val="auto"/>
                      <w:sz w:val="21"/>
                      <w:szCs w:val="21"/>
                      <w:highlight w:val="none"/>
                      <w:lang w:val="en-US"/>
                    </w:rPr>
                    <w:t>40μg/m</w:t>
                  </w:r>
                  <w:r>
                    <w:rPr>
                      <w:bCs w:val="0"/>
                      <w:color w:val="auto"/>
                      <w:sz w:val="21"/>
                      <w:szCs w:val="21"/>
                      <w:highlight w:val="none"/>
                      <w:vertAlign w:val="superscript"/>
                      <w:lang w:val="en-US"/>
                    </w:rPr>
                    <w:t>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rFonts w:hint="default" w:eastAsia="宋体"/>
                      <w:bCs w:val="0"/>
                      <w:color w:val="auto"/>
                      <w:sz w:val="21"/>
                      <w:szCs w:val="21"/>
                      <w:highlight w:val="none"/>
                      <w:lang w:val="en-US" w:eastAsia="zh-CN"/>
                    </w:rPr>
                  </w:pPr>
                  <w:r>
                    <w:rPr>
                      <w:rFonts w:hint="eastAsia" w:cs="Times New Roman"/>
                      <w:bCs w:val="0"/>
                      <w:color w:val="auto"/>
                      <w:sz w:val="21"/>
                      <w:szCs w:val="21"/>
                      <w:highlight w:val="none"/>
                      <w:lang w:val="en-US" w:eastAsia="zh-CN"/>
                    </w:rPr>
                    <w:t>67.5</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bCs w:val="0"/>
                      <w:color w:val="auto"/>
                      <w:sz w:val="21"/>
                      <w:szCs w:val="21"/>
                      <w:highlight w:val="none"/>
                      <w:lang w:val="en-US"/>
                    </w:rPr>
                    <w:t>PM</w:t>
                  </w:r>
                  <w:r>
                    <w:rPr>
                      <w:bCs w:val="0"/>
                      <w:color w:val="auto"/>
                      <w:sz w:val="21"/>
                      <w:szCs w:val="21"/>
                      <w:highlight w:val="none"/>
                      <w:vertAlign w:val="subscript"/>
                      <w:lang w:val="en-US"/>
                    </w:rPr>
                    <w:t>2.5</w:t>
                  </w:r>
                </w:p>
              </w:tc>
              <w:tc>
                <w:tcPr>
                  <w:tcW w:w="910"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bCs w:val="0"/>
                      <w:color w:val="auto"/>
                      <w:sz w:val="21"/>
                      <w:szCs w:val="21"/>
                      <w:highlight w:val="none"/>
                      <w:lang w:val="en-US"/>
                    </w:rPr>
                    <w:t>年</w:t>
                  </w:r>
                  <w:r>
                    <w:rPr>
                      <w:rFonts w:hint="eastAsia"/>
                      <w:bCs w:val="0"/>
                      <w:color w:val="auto"/>
                      <w:sz w:val="21"/>
                      <w:szCs w:val="21"/>
                      <w:highlight w:val="none"/>
                      <w:lang w:val="en-US"/>
                    </w:rPr>
                    <w:t>平均</w:t>
                  </w:r>
                </w:p>
              </w:tc>
              <w:tc>
                <w:tcPr>
                  <w:tcW w:w="1026" w:type="pct"/>
                  <w:tcBorders>
                    <w:tl2br w:val="nil"/>
                    <w:tr2bl w:val="nil"/>
                  </w:tcBorders>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0"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29</w:t>
                  </w:r>
                  <w:r>
                    <w:rPr>
                      <w:rFonts w:hint="default" w:ascii="Times New Roman" w:hAnsi="Times New Roman" w:eastAsia="宋体" w:cs="Times New Roman"/>
                      <w:b w:val="0"/>
                      <w:bCs w:val="0"/>
                      <w:color w:val="auto"/>
                      <w:sz w:val="21"/>
                      <w:szCs w:val="21"/>
                      <w:highlight w:val="none"/>
                      <w:lang w:val="en-US" w:eastAsia="zh-CN"/>
                    </w:rPr>
                    <w:t>μg/m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bCs w:val="0"/>
                      <w:color w:val="auto"/>
                      <w:sz w:val="21"/>
                      <w:szCs w:val="21"/>
                      <w:highlight w:val="none"/>
                      <w:lang w:val="en-US"/>
                    </w:rPr>
                    <w:t>35μg/m</w:t>
                  </w:r>
                  <w:r>
                    <w:rPr>
                      <w:bCs w:val="0"/>
                      <w:color w:val="auto"/>
                      <w:sz w:val="21"/>
                      <w:szCs w:val="21"/>
                      <w:highlight w:val="none"/>
                      <w:vertAlign w:val="superscript"/>
                      <w:lang w:val="en-US"/>
                    </w:rPr>
                    <w:t>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rFonts w:hint="default" w:eastAsia="宋体"/>
                      <w:bCs w:val="0"/>
                      <w:color w:val="auto"/>
                      <w:sz w:val="21"/>
                      <w:szCs w:val="21"/>
                      <w:highlight w:val="none"/>
                      <w:lang w:val="en-US" w:eastAsia="zh-CN"/>
                    </w:rPr>
                  </w:pPr>
                  <w:r>
                    <w:rPr>
                      <w:rFonts w:hint="eastAsia" w:cs="Times New Roman"/>
                      <w:bCs w:val="0"/>
                      <w:color w:val="auto"/>
                      <w:sz w:val="21"/>
                      <w:szCs w:val="21"/>
                      <w:highlight w:val="none"/>
                      <w:lang w:val="en-US" w:eastAsia="zh-CN"/>
                    </w:rPr>
                    <w:t>82.86</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rFonts w:hint="eastAsia" w:eastAsia="宋体"/>
                      <w:bCs w:val="0"/>
                      <w:color w:val="auto"/>
                      <w:sz w:val="21"/>
                      <w:szCs w:val="21"/>
                      <w:highlight w:val="none"/>
                      <w:lang w:val="en-US" w:eastAsia="zh-CN"/>
                    </w:rPr>
                  </w:pPr>
                  <w:r>
                    <w:rPr>
                      <w:rFonts w:hint="eastAsia"/>
                      <w:bCs w:val="0"/>
                      <w:color w:val="auto"/>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CO</w:t>
                  </w:r>
                </w:p>
              </w:tc>
              <w:tc>
                <w:tcPr>
                  <w:tcW w:w="910"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24小时平均</w:t>
                  </w:r>
                </w:p>
              </w:tc>
              <w:tc>
                <w:tcPr>
                  <w:tcW w:w="1026" w:type="pct"/>
                  <w:tcBorders>
                    <w:tl2br w:val="nil"/>
                    <w:tr2bl w:val="nil"/>
                  </w:tcBorders>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0"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1.4</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4.0m</w:t>
                  </w:r>
                  <w:r>
                    <w:rPr>
                      <w:bCs w:val="0"/>
                      <w:color w:val="auto"/>
                      <w:sz w:val="21"/>
                      <w:szCs w:val="21"/>
                      <w:highlight w:val="none"/>
                      <w:lang w:val="en-US"/>
                    </w:rPr>
                    <w:t>g/m</w:t>
                  </w:r>
                  <w:r>
                    <w:rPr>
                      <w:bCs w:val="0"/>
                      <w:color w:val="auto"/>
                      <w:sz w:val="21"/>
                      <w:szCs w:val="21"/>
                      <w:highlight w:val="none"/>
                      <w:vertAlign w:val="superscript"/>
                      <w:lang w:val="en-US"/>
                    </w:rPr>
                    <w:t>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rFonts w:hint="default" w:eastAsia="宋体"/>
                      <w:bCs w:val="0"/>
                      <w:color w:val="auto"/>
                      <w:sz w:val="21"/>
                      <w:szCs w:val="21"/>
                      <w:highlight w:val="none"/>
                      <w:lang w:val="en-US" w:eastAsia="zh-CN"/>
                    </w:rPr>
                  </w:pPr>
                  <w:r>
                    <w:rPr>
                      <w:rFonts w:hint="eastAsia" w:cs="Times New Roman"/>
                      <w:bCs w:val="0"/>
                      <w:color w:val="auto"/>
                      <w:sz w:val="21"/>
                      <w:szCs w:val="21"/>
                      <w:highlight w:val="none"/>
                      <w:lang w:val="en-US" w:eastAsia="zh-CN"/>
                    </w:rPr>
                    <w:t>35.0</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O</w:t>
                  </w:r>
                  <w:r>
                    <w:rPr>
                      <w:rFonts w:hint="eastAsia"/>
                      <w:bCs w:val="0"/>
                      <w:color w:val="auto"/>
                      <w:sz w:val="21"/>
                      <w:szCs w:val="21"/>
                      <w:highlight w:val="none"/>
                      <w:vertAlign w:val="subscript"/>
                      <w:lang w:val="en-US"/>
                    </w:rPr>
                    <w:t>3</w:t>
                  </w:r>
                </w:p>
              </w:tc>
              <w:tc>
                <w:tcPr>
                  <w:tcW w:w="910"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8小时平均</w:t>
                  </w:r>
                </w:p>
              </w:tc>
              <w:tc>
                <w:tcPr>
                  <w:tcW w:w="1026" w:type="pct"/>
                  <w:tcBorders>
                    <w:tl2br w:val="nil"/>
                    <w:tr2bl w:val="nil"/>
                  </w:tcBorders>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0"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15</w:t>
                  </w:r>
                  <w:r>
                    <w:rPr>
                      <w:rFonts w:hint="eastAsia" w:cs="Times New Roman"/>
                      <w:b w:val="0"/>
                      <w:bCs w:val="0"/>
                      <w:color w:val="auto"/>
                      <w:sz w:val="21"/>
                      <w:szCs w:val="21"/>
                      <w:highlight w:val="none"/>
                      <w:vertAlign w:val="baseline"/>
                      <w:lang w:val="en-US" w:eastAsia="zh-CN"/>
                    </w:rPr>
                    <w:t>0</w:t>
                  </w:r>
                  <w:r>
                    <w:rPr>
                      <w:rFonts w:hint="default" w:ascii="Times New Roman" w:hAnsi="Times New Roman" w:eastAsia="宋体" w:cs="Times New Roman"/>
                      <w:b w:val="0"/>
                      <w:bCs w:val="0"/>
                      <w:color w:val="auto"/>
                      <w:sz w:val="21"/>
                      <w:szCs w:val="21"/>
                      <w:highlight w:val="none"/>
                      <w:lang w:val="en-US" w:eastAsia="zh-CN"/>
                    </w:rPr>
                    <w:t>μg/m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160</w:t>
                  </w:r>
                  <w:r>
                    <w:rPr>
                      <w:bCs w:val="0"/>
                      <w:color w:val="auto"/>
                      <w:sz w:val="21"/>
                      <w:szCs w:val="21"/>
                      <w:highlight w:val="none"/>
                      <w:lang w:val="en-US"/>
                    </w:rPr>
                    <w:t>μg/m</w:t>
                  </w:r>
                  <w:r>
                    <w:rPr>
                      <w:bCs w:val="0"/>
                      <w:color w:val="auto"/>
                      <w:sz w:val="21"/>
                      <w:szCs w:val="21"/>
                      <w:highlight w:val="none"/>
                      <w:vertAlign w:val="superscript"/>
                      <w:lang w:val="en-US"/>
                    </w:rPr>
                    <w:t>3</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rFonts w:hint="default" w:eastAsia="宋体"/>
                      <w:bCs w:val="0"/>
                      <w:color w:val="auto"/>
                      <w:sz w:val="21"/>
                      <w:szCs w:val="21"/>
                      <w:highlight w:val="none"/>
                      <w:lang w:val="en-US" w:eastAsia="zh-CN"/>
                    </w:rPr>
                  </w:pPr>
                  <w:r>
                    <w:rPr>
                      <w:rFonts w:hint="eastAsia" w:cs="Times New Roman"/>
                      <w:bCs w:val="0"/>
                      <w:color w:val="auto"/>
                      <w:sz w:val="21"/>
                      <w:szCs w:val="21"/>
                      <w:highlight w:val="none"/>
                      <w:lang w:val="en-US" w:eastAsia="zh-CN"/>
                    </w:rPr>
                    <w:t>93.72</w:t>
                  </w:r>
                </w:p>
              </w:tc>
              <w:tc>
                <w:tcPr>
                  <w:tcW w:w="833" w:type="pct"/>
                  <w:tcBorders>
                    <w:tl2br w:val="nil"/>
                    <w:tr2bl w:val="nil"/>
                  </w:tcBorders>
                  <w:vAlign w:val="center"/>
                </w:tcPr>
                <w:p>
                  <w:pPr>
                    <w:pStyle w:val="22"/>
                    <w:adjustRightInd w:val="0"/>
                    <w:snapToGrid w:val="0"/>
                    <w:spacing w:after="0" w:line="240" w:lineRule="auto"/>
                    <w:ind w:left="0" w:leftChars="0" w:firstLine="0" w:firstLineChars="0"/>
                    <w:jc w:val="center"/>
                    <w:rPr>
                      <w:bCs w:val="0"/>
                      <w:color w:val="auto"/>
                      <w:sz w:val="21"/>
                      <w:szCs w:val="21"/>
                      <w:highlight w:val="none"/>
                      <w:lang w:val="en-US"/>
                    </w:rPr>
                  </w:pPr>
                  <w:r>
                    <w:rPr>
                      <w:rFonts w:hint="eastAsia"/>
                      <w:bCs w:val="0"/>
                      <w:color w:val="auto"/>
                      <w:sz w:val="21"/>
                      <w:szCs w:val="21"/>
                      <w:highlight w:val="none"/>
                      <w:lang w:val="en-US"/>
                    </w:rPr>
                    <w:t>达标</w:t>
                  </w:r>
                </w:p>
              </w:tc>
            </w:tr>
          </w:tbl>
          <w:p>
            <w:pPr>
              <w:pStyle w:val="13"/>
              <w:adjustRightInd w:val="0"/>
              <w:snapToGrid w:val="0"/>
              <w:spacing w:before="120" w:beforeLines="50" w:line="360" w:lineRule="auto"/>
              <w:ind w:firstLine="480"/>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highlight w:val="none"/>
              </w:rPr>
              <w:t>由上表可知，</w:t>
            </w:r>
            <w:r>
              <w:rPr>
                <w:rFonts w:hint="default" w:ascii="Times New Roman" w:hAnsi="Times New Roman" w:cs="Times New Roman"/>
                <w:color w:val="auto"/>
                <w:sz w:val="24"/>
                <w:szCs w:val="24"/>
                <w:highlight w:val="none"/>
              </w:rPr>
              <w:t>区域内PM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监测因子不满足《环境空气质量标准》（GB3095-2012）二级标准年均浓度要求。因此，区域环境质量不达标。</w:t>
            </w:r>
          </w:p>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1.2补充监测</w:t>
            </w:r>
          </w:p>
          <w:p>
            <w:pPr>
              <w:pStyle w:val="23"/>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bCs/>
                <w:color w:val="auto"/>
                <w:highlight w:val="none"/>
              </w:rPr>
            </w:pPr>
            <w:r>
              <w:rPr>
                <w:rFonts w:hint="eastAsia" w:cs="Times New Roman"/>
                <w:color w:val="auto"/>
                <w:sz w:val="24"/>
                <w:szCs w:val="32"/>
                <w:highlight w:val="none"/>
                <w:lang w:val="en-US" w:eastAsia="zh-CN"/>
              </w:rPr>
              <w:t>根据山西蓝源成环境监测有限公司出具的</w:t>
            </w:r>
            <w:r>
              <w:rPr>
                <w:rFonts w:hint="eastAsia" w:ascii="Times New Roman" w:hAnsi="Times New Roman" w:cs="Times New Roman"/>
                <w:color w:val="auto"/>
                <w:highlight w:val="none"/>
                <w:lang w:val="en-US" w:eastAsia="zh-CN"/>
              </w:rPr>
              <w:t>监测报告</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统计各监测点</w:t>
            </w:r>
            <w:r>
              <w:rPr>
                <w:rFonts w:hint="default" w:ascii="Times New Roman" w:hAnsi="Times New Roman" w:cs="Times New Roman"/>
                <w:color w:val="auto"/>
                <w:highlight w:val="none"/>
              </w:rPr>
              <w:t>日均浓度</w:t>
            </w:r>
            <w:r>
              <w:rPr>
                <w:rFonts w:hint="default" w:ascii="Times New Roman" w:hAnsi="Times New Roman" w:cs="Times New Roman"/>
                <w:bCs/>
                <w:color w:val="auto"/>
                <w:highlight w:val="none"/>
              </w:rPr>
              <w:t>，分析其日均浓度变化范围，并根据相应的环境质量标准分析统计各项目超标个数、超标率和最大值占标率，各污染物的浓度统计结果见表3-</w:t>
            </w:r>
            <w:r>
              <w:rPr>
                <w:rFonts w:hint="eastAsia" w:ascii="Times New Roman" w:hAnsi="Times New Roman" w:cs="Times New Roman"/>
                <w:bCs/>
                <w:color w:val="auto"/>
                <w:highlight w:val="none"/>
                <w:lang w:val="en-US" w:eastAsia="zh-CN"/>
              </w:rPr>
              <w:t>2</w:t>
            </w:r>
            <w:r>
              <w:rPr>
                <w:rFonts w:hint="default" w:ascii="Times New Roman" w:hAnsi="Times New Roman" w:cs="Times New Roman"/>
                <w:bCs/>
                <w:color w:val="auto"/>
                <w:highlight w:val="none"/>
              </w:rPr>
              <w:t>。</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表3-</w:t>
            </w:r>
            <w:r>
              <w:rPr>
                <w:rFonts w:hint="eastAsia" w:ascii="Times New Roman" w:hAnsi="Times New Roman" w:cs="Times New Roman"/>
                <w:b/>
                <w:color w:val="auto"/>
                <w:highlight w:val="none"/>
                <w:lang w:val="en-US" w:eastAsia="zh-CN"/>
              </w:rPr>
              <w:t>2</w:t>
            </w:r>
            <w:r>
              <w:rPr>
                <w:rFonts w:hint="default" w:ascii="Times New Roman" w:hAnsi="Times New Roman" w:cs="Times New Roman"/>
                <w:b/>
                <w:color w:val="auto"/>
                <w:highlight w:val="none"/>
              </w:rPr>
              <w:t xml:space="preserve">  TSP污染物浓度监测结果及达标情况</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8"/>
              <w:gridCol w:w="1581"/>
              <w:gridCol w:w="1070"/>
              <w:gridCol w:w="1215"/>
              <w:gridCol w:w="1151"/>
              <w:gridCol w:w="859"/>
              <w:gridCol w:w="989"/>
              <w:gridCol w:w="85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位置</w:t>
                  </w:r>
                </w:p>
              </w:tc>
              <w:tc>
                <w:tcPr>
                  <w:tcW w:w="91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监测日期</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70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监测值（μg/m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66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4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占标率</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7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超标率（%）</w:t>
                  </w:r>
                </w:p>
              </w:tc>
              <w:tc>
                <w:tcPr>
                  <w:tcW w:w="4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1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厂址</w:t>
                  </w:r>
                </w:p>
              </w:tc>
              <w:tc>
                <w:tcPr>
                  <w:tcW w:w="919" w:type="pct"/>
                  <w:tcBorders>
                    <w:tl2br w:val="nil"/>
                    <w:tr2bl w:val="nil"/>
                  </w:tcBorders>
                  <w:noWrap w:val="0"/>
                  <w:vAlign w:val="center"/>
                </w:tcPr>
                <w:p>
                  <w:pPr>
                    <w:pStyle w:val="38"/>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eastAsia" w:cs="Times New Roman"/>
                      <w:color w:val="auto"/>
                      <w:sz w:val="21"/>
                      <w:szCs w:val="21"/>
                      <w:highlight w:val="none"/>
                      <w:lang w:val="en-US" w:eastAsia="zh-CN"/>
                    </w:rPr>
                    <w:t>2.5.24</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TSP</w:t>
                  </w:r>
                </w:p>
              </w:tc>
              <w:tc>
                <w:tcPr>
                  <w:tcW w:w="70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79</w:t>
                  </w:r>
                </w:p>
              </w:tc>
              <w:tc>
                <w:tcPr>
                  <w:tcW w:w="66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300</w:t>
                  </w:r>
                </w:p>
              </w:tc>
              <w:tc>
                <w:tcPr>
                  <w:tcW w:w="4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w:t>
                  </w:r>
                  <w:r>
                    <w:rPr>
                      <w:rFonts w:hint="eastAsia" w:cs="Times New Roman"/>
                      <w:bCs/>
                      <w:color w:val="auto"/>
                      <w:sz w:val="21"/>
                      <w:szCs w:val="21"/>
                      <w:highlight w:val="none"/>
                      <w:lang w:val="en-US" w:eastAsia="zh-CN"/>
                    </w:rPr>
                    <w:t>9</w:t>
                  </w:r>
                  <w:r>
                    <w:rPr>
                      <w:rFonts w:hint="eastAsia" w:ascii="Times New Roman" w:hAnsi="Times New Roman" w:cs="Times New Roman"/>
                      <w:bCs/>
                      <w:color w:val="auto"/>
                      <w:sz w:val="21"/>
                      <w:szCs w:val="21"/>
                      <w:highlight w:val="none"/>
                      <w:lang w:val="en-US" w:eastAsia="zh-CN"/>
                    </w:rPr>
                    <w:t>.67</w:t>
                  </w:r>
                </w:p>
              </w:tc>
              <w:tc>
                <w:tcPr>
                  <w:tcW w:w="57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4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91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eastAsia" w:cs="Times New Roman"/>
                      <w:color w:val="auto"/>
                      <w:sz w:val="21"/>
                      <w:szCs w:val="21"/>
                      <w:highlight w:val="none"/>
                      <w:lang w:val="en-US" w:eastAsia="zh-CN"/>
                    </w:rPr>
                    <w:t>2.5.25</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TSP</w:t>
                  </w:r>
                </w:p>
              </w:tc>
              <w:tc>
                <w:tcPr>
                  <w:tcW w:w="70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68</w:t>
                  </w:r>
                </w:p>
              </w:tc>
              <w:tc>
                <w:tcPr>
                  <w:tcW w:w="66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300</w:t>
                  </w:r>
                </w:p>
              </w:tc>
              <w:tc>
                <w:tcPr>
                  <w:tcW w:w="4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56.00</w:t>
                  </w:r>
                </w:p>
              </w:tc>
              <w:tc>
                <w:tcPr>
                  <w:tcW w:w="57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4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bookmarkStart w:id="2" w:name="_Toc9568" w:colFirst="1" w:colLast="2"/>
                  <w:bookmarkStart w:id="3" w:name="_Toc3261" w:colFirst="1" w:colLast="2"/>
                  <w:bookmarkStart w:id="4" w:name="_Toc3549" w:colFirst="1" w:colLast="2"/>
                  <w:bookmarkStart w:id="5" w:name="_Toc28299" w:colFirst="1" w:colLast="2"/>
                  <w:bookmarkStart w:id="6" w:name="_Toc12815" w:colFirst="1" w:colLast="2"/>
                  <w:bookmarkStart w:id="7" w:name="_Toc21639" w:colFirst="1" w:colLast="2"/>
                  <w:bookmarkStart w:id="8" w:name="_Toc29160" w:colFirst="1" w:colLast="2"/>
                  <w:bookmarkStart w:id="9" w:name="_Toc9820" w:colFirst="1" w:colLast="2"/>
                  <w:bookmarkStart w:id="10" w:name="_Toc20214" w:colFirst="1" w:colLast="2"/>
                  <w:bookmarkStart w:id="11" w:name="_Toc9882" w:colFirst="1" w:colLast="2"/>
                  <w:bookmarkStart w:id="12" w:name="_Toc9666" w:colFirst="1" w:colLast="2"/>
                </w:p>
              </w:tc>
              <w:tc>
                <w:tcPr>
                  <w:tcW w:w="91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eastAsia" w:cs="Times New Roman"/>
                      <w:color w:val="auto"/>
                      <w:sz w:val="21"/>
                      <w:szCs w:val="21"/>
                      <w:highlight w:val="none"/>
                      <w:lang w:val="en-US" w:eastAsia="zh-CN"/>
                    </w:rPr>
                    <w:t>2.5.26</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TSP</w:t>
                  </w:r>
                </w:p>
              </w:tc>
              <w:tc>
                <w:tcPr>
                  <w:tcW w:w="70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85</w:t>
                  </w:r>
                </w:p>
              </w:tc>
              <w:tc>
                <w:tcPr>
                  <w:tcW w:w="66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300</w:t>
                  </w:r>
                </w:p>
              </w:tc>
              <w:tc>
                <w:tcPr>
                  <w:tcW w:w="4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61.67</w:t>
                  </w:r>
                </w:p>
              </w:tc>
              <w:tc>
                <w:tcPr>
                  <w:tcW w:w="57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4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达标</w:t>
                  </w:r>
                </w:p>
              </w:tc>
            </w:tr>
            <w:bookmarkEnd w:id="2"/>
            <w:bookmarkEnd w:id="3"/>
            <w:bookmarkEnd w:id="4"/>
            <w:bookmarkEnd w:id="5"/>
            <w:bookmarkEnd w:id="6"/>
            <w:bookmarkEnd w:id="7"/>
            <w:bookmarkEnd w:id="8"/>
            <w:bookmarkEnd w:id="9"/>
            <w:bookmarkEnd w:id="10"/>
            <w:bookmarkEnd w:id="11"/>
            <w:bookmarkEnd w:id="12"/>
          </w:tbl>
          <w:p>
            <w:pPr>
              <w:adjustRightInd w:val="0"/>
              <w:snapToGrid w:val="0"/>
              <w:spacing w:before="120" w:beforeLines="5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bCs/>
                <w:color w:val="auto"/>
                <w:kern w:val="0"/>
                <w:sz w:val="24"/>
                <w:highlight w:val="none"/>
              </w:rPr>
              <w:t>由监测结果看出，监测点TSP未超标，最大浓度占标率为</w:t>
            </w:r>
            <w:r>
              <w:rPr>
                <w:rFonts w:hint="eastAsia" w:cs="Times New Roman"/>
                <w:bCs/>
                <w:color w:val="auto"/>
                <w:kern w:val="0"/>
                <w:sz w:val="24"/>
                <w:highlight w:val="none"/>
                <w:lang w:val="en-US" w:eastAsia="zh-CN"/>
              </w:rPr>
              <w:t>61.67</w:t>
            </w:r>
            <w:r>
              <w:rPr>
                <w:rFonts w:hint="default" w:ascii="Times New Roman" w:hAnsi="Times New Roman" w:cs="Times New Roman"/>
                <w:bCs/>
                <w:color w:val="auto"/>
                <w:kern w:val="0"/>
                <w:sz w:val="24"/>
                <w:highlight w:val="none"/>
              </w:rPr>
              <w:t>%，满足</w:t>
            </w:r>
            <w:r>
              <w:rPr>
                <w:rFonts w:hint="default" w:ascii="Times New Roman" w:hAnsi="Times New Roman" w:cs="Times New Roman"/>
                <w:color w:val="auto"/>
                <w:spacing w:val="-3"/>
                <w:kern w:val="0"/>
                <w:sz w:val="24"/>
                <w:highlight w:val="none"/>
              </w:rPr>
              <w:t>《环境空气质量标准》（GB3095-2012）</w:t>
            </w:r>
            <w:r>
              <w:rPr>
                <w:rFonts w:hint="default" w:ascii="Times New Roman" w:hAnsi="Times New Roman" w:cs="Times New Roman"/>
                <w:color w:val="auto"/>
                <w:kern w:val="0"/>
                <w:sz w:val="24"/>
                <w:highlight w:val="none"/>
              </w:rPr>
              <w:t>中二级标准限值。</w:t>
            </w:r>
          </w:p>
          <w:p>
            <w:pPr>
              <w:adjustRightInd w:val="0"/>
              <w:snapToGrid w:val="0"/>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2、地表水环境质量现状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lang w:eastAsia="zh-CN"/>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忻州市20</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12月份及全年</w:t>
            </w:r>
            <w:r>
              <w:rPr>
                <w:rFonts w:hint="default" w:ascii="Times New Roman" w:hAnsi="Times New Roman" w:eastAsia="宋体" w:cs="Times New Roman"/>
                <w:color w:val="auto"/>
                <w:sz w:val="24"/>
                <w:szCs w:val="24"/>
                <w:highlight w:val="none"/>
              </w:rPr>
              <w:t>地表水</w:t>
            </w:r>
            <w:r>
              <w:rPr>
                <w:rFonts w:hint="eastAsia" w:cs="Times New Roman"/>
                <w:color w:val="auto"/>
                <w:sz w:val="24"/>
                <w:szCs w:val="24"/>
                <w:highlight w:val="none"/>
                <w:lang w:eastAsia="zh-CN"/>
              </w:rPr>
              <w:t>环境质量的通报</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（忻</w:t>
            </w:r>
            <w:r>
              <w:rPr>
                <w:rFonts w:hint="eastAsia" w:cs="Times New Roman"/>
                <w:color w:val="auto"/>
                <w:sz w:val="24"/>
                <w:szCs w:val="24"/>
                <w:highlight w:val="none"/>
                <w:lang w:val="en-US" w:eastAsia="zh-CN"/>
              </w:rPr>
              <w:t>污</w:t>
            </w:r>
            <w:r>
              <w:rPr>
                <w:rFonts w:hint="eastAsia" w:cs="Times New Roman"/>
                <w:color w:val="auto"/>
                <w:sz w:val="24"/>
                <w:szCs w:val="24"/>
                <w:highlight w:val="none"/>
                <w:lang w:eastAsia="zh-CN"/>
              </w:rPr>
              <w:t>防办发〔</w:t>
            </w:r>
            <w:r>
              <w:rPr>
                <w:rFonts w:hint="eastAsia" w:cs="Times New Roman"/>
                <w:color w:val="auto"/>
                <w:sz w:val="24"/>
                <w:szCs w:val="24"/>
                <w:highlight w:val="none"/>
                <w:lang w:val="en-US" w:eastAsia="zh-CN"/>
              </w:rPr>
              <w:t>2022〕1号</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最近省考断面（</w:t>
            </w:r>
            <w:r>
              <w:rPr>
                <w:rFonts w:hint="eastAsia" w:cs="Times New Roman"/>
                <w:color w:val="auto"/>
                <w:sz w:val="24"/>
                <w:szCs w:val="24"/>
                <w:highlight w:val="none"/>
                <w:lang w:val="en-US" w:eastAsia="zh-CN"/>
              </w:rPr>
              <w:t>下茹越</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为V类</w:t>
            </w:r>
            <w:r>
              <w:rPr>
                <w:rFonts w:hint="eastAsia" w:cs="Times New Roman"/>
                <w:color w:val="auto"/>
                <w:sz w:val="24"/>
                <w:szCs w:val="24"/>
                <w:highlight w:val="none"/>
                <w:lang w:eastAsia="zh-CN"/>
              </w:rPr>
              <w:t>水质，</w:t>
            </w:r>
            <w:r>
              <w:rPr>
                <w:rFonts w:hint="eastAsia" w:cs="Times New Roman"/>
                <w:color w:val="auto"/>
                <w:sz w:val="24"/>
                <w:szCs w:val="24"/>
                <w:highlight w:val="none"/>
                <w:lang w:val="en-US" w:eastAsia="zh-CN"/>
              </w:rPr>
              <w:t>监测断面示意图见附图4</w:t>
            </w:r>
            <w:r>
              <w:rPr>
                <w:rFonts w:hint="default" w:ascii="Times New Roman" w:hAnsi="Times New Roman" w:eastAsia="宋体" w:cs="Times New Roman"/>
                <w:color w:val="auto"/>
                <w:sz w:val="24"/>
                <w:szCs w:val="24"/>
                <w:highlight w:val="none"/>
              </w:rPr>
              <w:t>。</w:t>
            </w:r>
          </w:p>
          <w:p>
            <w:pPr>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3、噪声质量现状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highlight w:val="none"/>
                <w:lang w:val="en-US" w:eastAsia="zh-CN"/>
              </w:rPr>
              <w:t>项目位于</w:t>
            </w:r>
            <w:r>
              <w:rPr>
                <w:rFonts w:hint="default"/>
                <w:color w:val="auto"/>
                <w:sz w:val="24"/>
                <w:szCs w:val="32"/>
                <w:highlight w:val="none"/>
                <w:lang w:val="en-US"/>
              </w:rPr>
              <w:t>繁峙县大营镇固庄村西</w:t>
            </w:r>
            <w:r>
              <w:rPr>
                <w:rFonts w:hint="default" w:ascii="Times New Roman" w:hAnsi="Times New Roman" w:cs="Times New Roman"/>
                <w:color w:val="auto"/>
                <w:sz w:val="24"/>
                <w:szCs w:val="32"/>
                <w:highlight w:val="none"/>
                <w:lang w:val="en-US" w:eastAsia="zh-CN"/>
              </w:rPr>
              <w:t>，根据现场勘查，周边50m不涉及敏感保护目标，</w:t>
            </w:r>
            <w:r>
              <w:rPr>
                <w:rFonts w:hint="default" w:ascii="Times New Roman" w:hAnsi="Times New Roman" w:eastAsia="宋体" w:cs="Times New Roman"/>
                <w:color w:val="auto"/>
                <w:sz w:val="24"/>
                <w:szCs w:val="24"/>
                <w:highlight w:val="none"/>
                <w:lang w:val="en-US" w:eastAsia="zh-CN"/>
              </w:rPr>
              <w:t>可不进行声环境质量现状监测</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both"/>
              <w:textAlignment w:val="auto"/>
              <w:rPr>
                <w:rStyle w:val="58"/>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color w:val="auto"/>
                <w:sz w:val="24"/>
                <w:szCs w:val="24"/>
                <w:highlight w:val="none"/>
                <w:lang w:eastAsia="zh-CN"/>
              </w:rPr>
              <w:t xml:space="preserve">4. </w:t>
            </w:r>
            <w:r>
              <w:rPr>
                <w:rStyle w:val="58"/>
                <w:rFonts w:hint="eastAsia" w:ascii="Times New Roman" w:hAnsi="Times New Roman" w:cs="Times New Roman"/>
                <w:b/>
                <w:bCs/>
                <w:color w:val="auto"/>
                <w:sz w:val="24"/>
                <w:szCs w:val="24"/>
                <w:highlight w:val="none"/>
                <w:lang w:val="en-US" w:eastAsia="zh-CN"/>
              </w:rPr>
              <w:t>土壤环境质量现状</w:t>
            </w:r>
          </w:p>
          <w:p>
            <w:pPr>
              <w:keepNext w:val="0"/>
              <w:keepLines w:val="0"/>
              <w:pageBreakBefore w:val="0"/>
              <w:widowControl w:val="0"/>
              <w:tabs>
                <w:tab w:val="left" w:pos="0"/>
                <w:tab w:val="left" w:pos="1365"/>
                <w:tab w:val="left" w:pos="1575"/>
              </w:tabs>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本项目土壤环境监测内容见表3-</w:t>
            </w:r>
            <w:r>
              <w:rPr>
                <w:rFonts w:hint="eastAsia" w:ascii="Times New Roman" w:hAnsi="Times New Roman" w:cs="Times New Roman"/>
                <w:color w:val="auto"/>
                <w:sz w:val="24"/>
                <w:highlight w:val="none"/>
                <w:lang w:val="en-US" w:eastAsia="zh-CN"/>
              </w:rPr>
              <w:t>3</w:t>
            </w:r>
            <w:r>
              <w:rPr>
                <w:rFonts w:hint="eastAsia" w:cs="Times New Roman"/>
                <w:color w:val="auto"/>
                <w:sz w:val="24"/>
                <w:highlight w:val="none"/>
                <w:lang w:val="en-US" w:eastAsia="zh-CN"/>
              </w:rPr>
              <w:t>，监测布点图见</w:t>
            </w:r>
            <w:r>
              <w:rPr>
                <w:rFonts w:hint="default" w:ascii="Times New Roman" w:hAnsi="Times New Roman" w:cs="Times New Roman"/>
                <w:color w:val="auto"/>
                <w:sz w:val="24"/>
                <w:highlight w:val="none"/>
              </w:rPr>
              <w:t>。</w:t>
            </w:r>
          </w:p>
          <w:p>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baseline"/>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表3-</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lang w:val="en-US" w:eastAsia="zh-CN"/>
              </w:rPr>
              <w:t xml:space="preserve"> 土壤环境监测内容一览表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522"/>
              <w:gridCol w:w="1580"/>
              <w:gridCol w:w="3316"/>
              <w:gridCol w:w="900"/>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编号</w:t>
                  </w:r>
                </w:p>
              </w:tc>
              <w:tc>
                <w:tcPr>
                  <w:tcW w:w="88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监测位置</w:t>
                  </w:r>
                </w:p>
              </w:tc>
              <w:tc>
                <w:tcPr>
                  <w:tcW w:w="91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布点理由</w:t>
                  </w:r>
                </w:p>
              </w:tc>
              <w:tc>
                <w:tcPr>
                  <w:tcW w:w="192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监测项目</w:t>
                  </w:r>
                </w:p>
              </w:tc>
              <w:tc>
                <w:tcPr>
                  <w:tcW w:w="5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频次</w:t>
                  </w:r>
                </w:p>
              </w:tc>
              <w:tc>
                <w:tcPr>
                  <w:tcW w:w="4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采样</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884" w:type="pct"/>
                  <w:noWrap w:val="0"/>
                  <w:vAlign w:val="center"/>
                </w:tcPr>
                <w:p>
                  <w:pPr>
                    <w:pStyle w:val="15"/>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场地</w:t>
                  </w:r>
                  <w:r>
                    <w:rPr>
                      <w:rFonts w:hint="eastAsia" w:cs="Times New Roman"/>
                      <w:color w:val="auto"/>
                      <w:sz w:val="21"/>
                      <w:szCs w:val="21"/>
                      <w:highlight w:val="none"/>
                      <w:lang w:val="en-US" w:eastAsia="zh-CN"/>
                    </w:rPr>
                    <w:t>内</w:t>
                  </w:r>
                  <w:r>
                    <w:rPr>
                      <w:rFonts w:hint="eastAsia" w:ascii="Times New Roman" w:hAnsi="Times New Roman" w:cs="Times New Roman"/>
                      <w:color w:val="auto"/>
                      <w:sz w:val="21"/>
                      <w:szCs w:val="21"/>
                      <w:highlight w:val="none"/>
                      <w:lang w:val="en-US" w:eastAsia="zh-CN"/>
                    </w:rPr>
                    <w:t>西北</w:t>
                  </w:r>
                  <w:r>
                    <w:rPr>
                      <w:rFonts w:hint="default" w:ascii="Times New Roman" w:hAnsi="Times New Roman" w:cs="Times New Roman"/>
                      <w:color w:val="auto"/>
                      <w:sz w:val="21"/>
                      <w:szCs w:val="21"/>
                      <w:highlight w:val="none"/>
                      <w:lang w:val="en-US" w:eastAsia="zh-CN"/>
                    </w:rPr>
                    <w:t>侧</w:t>
                  </w:r>
                </w:p>
              </w:tc>
              <w:tc>
                <w:tcPr>
                  <w:tcW w:w="918" w:type="pct"/>
                  <w:noWrap w:val="0"/>
                  <w:vAlign w:val="center"/>
                </w:tcPr>
                <w:p>
                  <w:pPr>
                    <w:pStyle w:val="1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靠近二选厂生产车间</w:t>
                  </w:r>
                </w:p>
              </w:tc>
              <w:tc>
                <w:tcPr>
                  <w:tcW w:w="1926" w:type="pct"/>
                  <w:noWrap w:val="0"/>
                  <w:vAlign w:val="center"/>
                </w:tcPr>
                <w:p>
                  <w:pPr>
                    <w:pStyle w:val="15"/>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《土壤环境质量 建设用地土壤污染风险管控标准（试行）》中规定45项及pH值</w:t>
                  </w:r>
                  <w:r>
                    <w:rPr>
                      <w:rFonts w:hint="eastAsia" w:ascii="Times New Roman" w:hAnsi="Times New Roman" w:cs="Times New Roman"/>
                      <w:color w:val="auto"/>
                      <w:sz w:val="21"/>
                      <w:szCs w:val="21"/>
                      <w:highlight w:val="none"/>
                      <w:lang w:val="en-US" w:eastAsia="zh-CN"/>
                    </w:rPr>
                    <w:t>、石油烃</w:t>
                  </w:r>
                </w:p>
              </w:tc>
              <w:tc>
                <w:tcPr>
                  <w:tcW w:w="523" w:type="pct"/>
                  <w:vMerge w:val="restart"/>
                  <w:noWrap w:val="0"/>
                  <w:vAlign w:val="center"/>
                </w:tcPr>
                <w:p>
                  <w:pPr>
                    <w:pStyle w:val="15"/>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测1次</w:t>
                  </w:r>
                </w:p>
              </w:tc>
              <w:tc>
                <w:tcPr>
                  <w:tcW w:w="499" w:type="pct"/>
                  <w:vMerge w:val="restart"/>
                  <w:noWrap w:val="0"/>
                  <w:vAlign w:val="center"/>
                </w:tcPr>
                <w:p>
                  <w:pPr>
                    <w:pStyle w:val="15"/>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表层0-20cm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884" w:type="pct"/>
                  <w:noWrap w:val="0"/>
                  <w:vAlign w:val="center"/>
                </w:tcPr>
                <w:p>
                  <w:pPr>
                    <w:pStyle w:val="15"/>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场地</w:t>
                  </w:r>
                  <w:r>
                    <w:rPr>
                      <w:rFonts w:hint="eastAsia" w:cs="Times New Roman"/>
                      <w:color w:val="auto"/>
                      <w:sz w:val="21"/>
                      <w:szCs w:val="21"/>
                      <w:highlight w:val="none"/>
                      <w:lang w:val="en-US" w:eastAsia="zh-CN"/>
                    </w:rPr>
                    <w:t>内</w:t>
                  </w:r>
                  <w:r>
                    <w:rPr>
                      <w:rFonts w:hint="eastAsia" w:ascii="Times New Roman" w:hAnsi="Times New Roman" w:cs="Times New Roman"/>
                      <w:color w:val="auto"/>
                      <w:sz w:val="21"/>
                      <w:szCs w:val="21"/>
                      <w:highlight w:val="none"/>
                      <w:lang w:val="en-US" w:eastAsia="zh-CN"/>
                    </w:rPr>
                    <w:t>中部</w:t>
                  </w:r>
                </w:p>
              </w:tc>
              <w:tc>
                <w:tcPr>
                  <w:tcW w:w="918" w:type="pct"/>
                  <w:noWrap w:val="0"/>
                  <w:vAlign w:val="center"/>
                </w:tcPr>
                <w:p>
                  <w:pPr>
                    <w:pStyle w:val="1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厂区中部</w:t>
                  </w:r>
                </w:p>
              </w:tc>
              <w:tc>
                <w:tcPr>
                  <w:tcW w:w="1926" w:type="pct"/>
                  <w:vMerge w:val="restart"/>
                  <w:noWrap w:val="0"/>
                  <w:vAlign w:val="center"/>
                </w:tcPr>
                <w:p>
                  <w:pPr>
                    <w:pStyle w:val="15"/>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pH、</w:t>
                  </w:r>
                  <w:r>
                    <w:rPr>
                      <w:rFonts w:hint="eastAsia" w:ascii="Times New Roman" w:hAnsi="Times New Roman" w:cs="Times New Roman"/>
                      <w:color w:val="auto"/>
                      <w:sz w:val="21"/>
                      <w:szCs w:val="21"/>
                      <w:highlight w:val="none"/>
                      <w:lang w:val="en-US" w:eastAsia="zh-CN"/>
                    </w:rPr>
                    <w:t>石油烃</w:t>
                  </w:r>
                </w:p>
              </w:tc>
              <w:tc>
                <w:tcPr>
                  <w:tcW w:w="523" w:type="pct"/>
                  <w:vMerge w:val="continue"/>
                  <w:noWrap w:val="0"/>
                  <w:vAlign w:val="center"/>
                </w:tcPr>
                <w:p>
                  <w:pPr>
                    <w:pStyle w:val="15"/>
                    <w:keepNext w:val="0"/>
                    <w:keepLines w:val="0"/>
                    <w:pageBreakBefore w:val="0"/>
                    <w:widowControl w:val="0"/>
                    <w:kinsoku/>
                    <w:wordWrap/>
                    <w:overflowPunct/>
                    <w:topLinePunct w:val="0"/>
                    <w:autoSpaceDE/>
                    <w:autoSpaceDN/>
                    <w:bidi w:val="0"/>
                    <w:adjustRightInd w:val="0"/>
                    <w:snapToGrid w:val="0"/>
                    <w:ind w:firstLine="420"/>
                    <w:jc w:val="center"/>
                    <w:textAlignment w:val="auto"/>
                    <w:rPr>
                      <w:rFonts w:hint="default" w:ascii="Times New Roman" w:hAnsi="Times New Roman" w:cs="Times New Roman"/>
                      <w:color w:val="auto"/>
                      <w:sz w:val="21"/>
                      <w:szCs w:val="21"/>
                      <w:highlight w:val="none"/>
                      <w:lang w:val="en-US" w:eastAsia="zh-CN"/>
                    </w:rPr>
                  </w:pPr>
                </w:p>
              </w:tc>
              <w:tc>
                <w:tcPr>
                  <w:tcW w:w="499" w:type="pct"/>
                  <w:vMerge w:val="continue"/>
                  <w:noWrap w:val="0"/>
                  <w:vAlign w:val="center"/>
                </w:tcPr>
                <w:p>
                  <w:pPr>
                    <w:pStyle w:val="15"/>
                    <w:keepNext w:val="0"/>
                    <w:keepLines w:val="0"/>
                    <w:pageBreakBefore w:val="0"/>
                    <w:widowControl w:val="0"/>
                    <w:kinsoku/>
                    <w:wordWrap/>
                    <w:overflowPunct/>
                    <w:topLinePunct w:val="0"/>
                    <w:autoSpaceDE/>
                    <w:autoSpaceDN/>
                    <w:bidi w:val="0"/>
                    <w:adjustRightInd w:val="0"/>
                    <w:snapToGrid w:val="0"/>
                    <w:ind w:firstLine="420"/>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884" w:type="pct"/>
                  <w:noWrap w:val="0"/>
                  <w:vAlign w:val="center"/>
                </w:tcPr>
                <w:p>
                  <w:pPr>
                    <w:pStyle w:val="15"/>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场地</w:t>
                  </w:r>
                  <w:r>
                    <w:rPr>
                      <w:rFonts w:hint="eastAsia" w:cs="Times New Roman"/>
                      <w:color w:val="auto"/>
                      <w:sz w:val="21"/>
                      <w:szCs w:val="21"/>
                      <w:highlight w:val="none"/>
                      <w:lang w:val="en-US" w:eastAsia="zh-CN"/>
                    </w:rPr>
                    <w:t>内</w:t>
                  </w:r>
                  <w:r>
                    <w:rPr>
                      <w:rFonts w:hint="eastAsia" w:ascii="Times New Roman" w:hAnsi="Times New Roman" w:cs="Times New Roman"/>
                      <w:color w:val="auto"/>
                      <w:sz w:val="21"/>
                      <w:szCs w:val="21"/>
                      <w:highlight w:val="none"/>
                      <w:lang w:val="en-US" w:eastAsia="zh-CN"/>
                    </w:rPr>
                    <w:t>东南</w:t>
                  </w:r>
                  <w:r>
                    <w:rPr>
                      <w:rFonts w:hint="default" w:ascii="Times New Roman" w:hAnsi="Times New Roman" w:cs="Times New Roman"/>
                      <w:color w:val="auto"/>
                      <w:sz w:val="21"/>
                      <w:szCs w:val="21"/>
                      <w:highlight w:val="none"/>
                      <w:lang w:val="en-US" w:eastAsia="zh-CN"/>
                    </w:rPr>
                    <w:t>侧</w:t>
                  </w:r>
                </w:p>
              </w:tc>
              <w:tc>
                <w:tcPr>
                  <w:tcW w:w="918" w:type="pct"/>
                  <w:noWrap w:val="0"/>
                  <w:vAlign w:val="center"/>
                </w:tcPr>
                <w:p>
                  <w:pPr>
                    <w:pStyle w:val="1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靠近尾矿库</w:t>
                  </w:r>
                </w:p>
              </w:tc>
              <w:tc>
                <w:tcPr>
                  <w:tcW w:w="1926" w:type="pct"/>
                  <w:vMerge w:val="continue"/>
                  <w:noWrap w:val="0"/>
                  <w:vAlign w:val="center"/>
                </w:tcPr>
                <w:p>
                  <w:pPr>
                    <w:pStyle w:val="15"/>
                    <w:keepNext w:val="0"/>
                    <w:keepLines w:val="0"/>
                    <w:pageBreakBefore w:val="0"/>
                    <w:widowControl w:val="0"/>
                    <w:kinsoku/>
                    <w:wordWrap/>
                    <w:overflowPunct/>
                    <w:topLinePunct w:val="0"/>
                    <w:autoSpaceDE/>
                    <w:autoSpaceDN/>
                    <w:bidi w:val="0"/>
                    <w:adjustRightInd w:val="0"/>
                    <w:snapToGrid w:val="0"/>
                    <w:ind w:firstLine="420"/>
                    <w:jc w:val="center"/>
                    <w:textAlignment w:val="auto"/>
                    <w:rPr>
                      <w:rFonts w:hint="default" w:ascii="Times New Roman" w:hAnsi="Times New Roman" w:cs="Times New Roman"/>
                      <w:color w:val="auto"/>
                      <w:sz w:val="21"/>
                      <w:szCs w:val="21"/>
                      <w:highlight w:val="none"/>
                      <w:lang w:val="en-US" w:eastAsia="zh-CN"/>
                    </w:rPr>
                  </w:pPr>
                </w:p>
              </w:tc>
              <w:tc>
                <w:tcPr>
                  <w:tcW w:w="523" w:type="pct"/>
                  <w:vMerge w:val="continue"/>
                  <w:noWrap w:val="0"/>
                  <w:vAlign w:val="center"/>
                </w:tcPr>
                <w:p>
                  <w:pPr>
                    <w:pStyle w:val="15"/>
                    <w:keepNext w:val="0"/>
                    <w:keepLines w:val="0"/>
                    <w:pageBreakBefore w:val="0"/>
                    <w:widowControl w:val="0"/>
                    <w:kinsoku/>
                    <w:wordWrap/>
                    <w:overflowPunct/>
                    <w:topLinePunct w:val="0"/>
                    <w:autoSpaceDE/>
                    <w:autoSpaceDN/>
                    <w:bidi w:val="0"/>
                    <w:adjustRightInd w:val="0"/>
                    <w:snapToGrid w:val="0"/>
                    <w:ind w:firstLine="420"/>
                    <w:jc w:val="center"/>
                    <w:textAlignment w:val="auto"/>
                    <w:rPr>
                      <w:rFonts w:hint="default" w:ascii="Times New Roman" w:hAnsi="Times New Roman" w:cs="Times New Roman"/>
                      <w:color w:val="auto"/>
                      <w:sz w:val="21"/>
                      <w:szCs w:val="21"/>
                      <w:highlight w:val="none"/>
                      <w:lang w:val="en-US" w:eastAsia="zh-CN"/>
                    </w:rPr>
                  </w:pPr>
                </w:p>
              </w:tc>
              <w:tc>
                <w:tcPr>
                  <w:tcW w:w="499" w:type="pct"/>
                  <w:vMerge w:val="continue"/>
                  <w:noWrap w:val="0"/>
                  <w:vAlign w:val="center"/>
                </w:tcPr>
                <w:p>
                  <w:pPr>
                    <w:pStyle w:val="15"/>
                    <w:keepNext w:val="0"/>
                    <w:keepLines w:val="0"/>
                    <w:pageBreakBefore w:val="0"/>
                    <w:widowControl w:val="0"/>
                    <w:kinsoku/>
                    <w:wordWrap/>
                    <w:overflowPunct/>
                    <w:topLinePunct w:val="0"/>
                    <w:autoSpaceDE/>
                    <w:autoSpaceDN/>
                    <w:bidi w:val="0"/>
                    <w:adjustRightInd w:val="0"/>
                    <w:snapToGrid w:val="0"/>
                    <w:ind w:firstLine="420"/>
                    <w:jc w:val="center"/>
                    <w:textAlignment w:val="auto"/>
                    <w:rPr>
                      <w:rFonts w:hint="default" w:ascii="Times New Roman" w:hAnsi="Times New Roman" w:cs="Times New Roman"/>
                      <w:color w:val="auto"/>
                      <w:sz w:val="21"/>
                      <w:szCs w:val="21"/>
                      <w:highlight w:val="none"/>
                      <w:lang w:val="en-US" w:eastAsia="zh-CN"/>
                    </w:rPr>
                  </w:pPr>
                </w:p>
              </w:tc>
            </w:tr>
          </w:tbl>
          <w:p>
            <w:pPr>
              <w:pStyle w:val="23"/>
              <w:snapToGrid w:val="0"/>
              <w:spacing w:before="120" w:beforeLines="50" w:line="360" w:lineRule="auto"/>
              <w:ind w:firstLine="480" w:firstLineChars="200"/>
              <w:jc w:val="both"/>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合理性分析：本项目占地原有用途为选厂堆场，本次为了了解原有场地是否污染，而开展了土壤监测工作。根据</w:t>
            </w:r>
            <w:r>
              <w:rPr>
                <w:rFonts w:hint="default" w:ascii="Times New Roman" w:hAnsi="Times New Roman" w:cs="Times New Roman"/>
                <w:color w:val="auto"/>
                <w:sz w:val="24"/>
                <w:szCs w:val="24"/>
                <w:highlight w:val="none"/>
              </w:rPr>
              <w:t>《环境影响评价技术导则  土壤环境（试行）》（HJ964-2018）</w:t>
            </w:r>
            <w:r>
              <w:rPr>
                <w:rFonts w:hint="eastAsia" w:ascii="Times New Roman" w:cs="Times New Roman"/>
                <w:color w:val="auto"/>
                <w:sz w:val="24"/>
                <w:szCs w:val="24"/>
                <w:highlight w:val="none"/>
                <w:lang w:eastAsia="zh-CN"/>
              </w:rPr>
              <w:t>的</w:t>
            </w:r>
            <w:r>
              <w:rPr>
                <w:rFonts w:hint="eastAsia" w:ascii="Times New Roman" w:cs="Times New Roman"/>
                <w:color w:val="auto"/>
                <w:sz w:val="24"/>
                <w:szCs w:val="24"/>
                <w:highlight w:val="none"/>
                <w:lang w:val="en-US" w:eastAsia="zh-CN"/>
              </w:rPr>
              <w:t>相关要求，设3个点采样点，其中1个监测点监测基本因子45项目及pH、石油烃，2个监测点只监测特征因子，可满足地块监测要求，监测结果可代表地块反映出土壤是否造成了污染。</w:t>
            </w:r>
          </w:p>
          <w:p>
            <w:pPr>
              <w:pStyle w:val="2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color w:val="auto"/>
                <w:sz w:val="24"/>
                <w:highlight w:val="none"/>
              </w:rPr>
              <mc:AlternateContent>
                <mc:Choice Requires="wps">
                  <w:drawing>
                    <wp:anchor distT="0" distB="0" distL="114300" distR="114300" simplePos="0" relativeHeight="251694080" behindDoc="0" locked="0" layoutInCell="1" allowOverlap="1">
                      <wp:simplePos x="0" y="0"/>
                      <wp:positionH relativeFrom="column">
                        <wp:posOffset>4502150</wp:posOffset>
                      </wp:positionH>
                      <wp:positionV relativeFrom="paragraph">
                        <wp:posOffset>302260</wp:posOffset>
                      </wp:positionV>
                      <wp:extent cx="253365" cy="250825"/>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253365" cy="250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sz w:val="32"/>
                                      <w:szCs w:val="40"/>
                                      <w:lang w:val="en-US" w:eastAsia="zh-CN"/>
                                    </w:rPr>
                                  </w:pPr>
                                  <w:r>
                                    <w:rPr>
                                      <w:rFonts w:hint="eastAsia"/>
                                      <w:b/>
                                      <w:bCs/>
                                      <w:color w:val="auto"/>
                                      <w:sz w:val="32"/>
                                      <w:szCs w:val="40"/>
                                      <w:lang w:val="en-US" w:eastAsia="zh-CN"/>
                                    </w:rPr>
                                    <w:t>北</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54.5pt;margin-top:23.8pt;height:19.75pt;width:19.95pt;z-index:251694080;mso-width-relative:page;mso-height-relative:page;" filled="f" stroked="f" coordsize="21600,21600" o:gfxdata="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3iJCtkAAAAJAQAADwAAAAAAAAABACAAAAAiAAAAZHJzL2Rvd25yZXYu&#10;eG1sUEsBAhQAFAAAAAgAh07iQNxIIngzAgAAWQQAAA4AAAAAAAAAAQAgAAAAKAEAAGRycy9lMm9E&#10;b2MueG1sUEsFBgAAAAAGAAYAWQEAAM0FAAAAAA==&#10;">
                      <v:fill on="f" focussize="0,0"/>
                      <v:stroke on="f" weight="0.5pt"/>
                      <v:imagedata o:title=""/>
                      <o:lock v:ext="edit" aspectratio="f"/>
                      <v:textbox inset="0mm,0mm,0mm,0mm">
                        <w:txbxContent>
                          <w:p>
                            <w:pPr>
                              <w:rPr>
                                <w:rFonts w:hint="default" w:eastAsia="宋体"/>
                                <w:b/>
                                <w:bCs/>
                                <w:color w:val="auto"/>
                                <w:sz w:val="32"/>
                                <w:szCs w:val="40"/>
                                <w:lang w:val="en-US" w:eastAsia="zh-CN"/>
                              </w:rPr>
                            </w:pPr>
                            <w:r>
                              <w:rPr>
                                <w:rFonts w:hint="eastAsia"/>
                                <w:b/>
                                <w:bCs/>
                                <w:color w:val="auto"/>
                                <w:sz w:val="32"/>
                                <w:szCs w:val="40"/>
                                <w:lang w:val="en-US" w:eastAsia="zh-CN"/>
                              </w:rPr>
                              <w:t>北</w:t>
                            </w:r>
                          </w:p>
                        </w:txbxContent>
                      </v:textbox>
                    </v:shape>
                  </w:pict>
                </mc:Fallback>
              </mc:AlternateContent>
            </w:r>
            <w:r>
              <w:rPr>
                <w:color w:val="auto"/>
                <w:sz w:val="24"/>
                <w:highlight w:val="none"/>
              </w:rPr>
              <mc:AlternateContent>
                <mc:Choice Requires="wps">
                  <w:drawing>
                    <wp:anchor distT="0" distB="0" distL="114300" distR="114300" simplePos="0" relativeHeight="251693056" behindDoc="0" locked="0" layoutInCell="1" allowOverlap="1">
                      <wp:simplePos x="0" y="0"/>
                      <wp:positionH relativeFrom="column">
                        <wp:posOffset>4444365</wp:posOffset>
                      </wp:positionH>
                      <wp:positionV relativeFrom="paragraph">
                        <wp:posOffset>622300</wp:posOffset>
                      </wp:positionV>
                      <wp:extent cx="182880" cy="444500"/>
                      <wp:effectExtent l="15240" t="8890" r="30480" b="22860"/>
                      <wp:wrapNone/>
                      <wp:docPr id="123" name="上箭头 123"/>
                      <wp:cNvGraphicFramePr/>
                      <a:graphic xmlns:a="http://schemas.openxmlformats.org/drawingml/2006/main">
                        <a:graphicData uri="http://schemas.microsoft.com/office/word/2010/wordprocessingShape">
                          <wps:wsp>
                            <wps:cNvSpPr/>
                            <wps:spPr>
                              <a:xfrm>
                                <a:off x="5634355" y="5357495"/>
                                <a:ext cx="182880" cy="44450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49.95pt;margin-top:49pt;height:35pt;width:14.4pt;z-index:251693056;v-text-anchor:middle;mso-width-relative:page;mso-height-relative:page;" fillcolor="#000000 [3213]" filled="t" stroked="t" coordsize="21600,21600" o:gfxdata="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ijvp/VAAAACgEAAA8AAAAAAAAAAQAgAAAA&#10;IgAAAGRycy9kb3ducmV2LnhtbFBLAQIUABQAAAAIAIdO4kCvplqhgAIAAAkFAAAOAAAAAAAAAAEA&#10;IAAAACQBAABkcnMvZTJvRG9jLnhtbFBLBQYAAAAABgAGAFkBAAAWBgAAAAA=&#10;" adj="4443,5400">
                      <v:fill on="t" focussize="0,0"/>
                      <v:stroke weight="1pt" color="#000000 [3213]" miterlimit="8" joinstyle="miter"/>
                      <v:imagedata o:title=""/>
                      <o:lock v:ext="edit" aspectratio="f"/>
                    </v:shape>
                  </w:pict>
                </mc:Fallback>
              </mc:AlternateContent>
            </w:r>
            <w:r>
              <w:rPr>
                <w:color w:val="auto"/>
                <w:highlight w:val="none"/>
              </w:rPr>
              <w:drawing>
                <wp:anchor distT="0" distB="0" distL="114300" distR="114300" simplePos="0" relativeHeight="251692032" behindDoc="0" locked="0" layoutInCell="1" allowOverlap="1">
                  <wp:simplePos x="0" y="0"/>
                  <wp:positionH relativeFrom="column">
                    <wp:posOffset>543560</wp:posOffset>
                  </wp:positionH>
                  <wp:positionV relativeFrom="paragraph">
                    <wp:posOffset>4144010</wp:posOffset>
                  </wp:positionV>
                  <wp:extent cx="1209675" cy="304800"/>
                  <wp:effectExtent l="0" t="0" r="9525" b="0"/>
                  <wp:wrapNone/>
                  <wp:docPr id="1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0"/>
                          <pic:cNvPicPr>
                            <a:picLocks noChangeAspect="1"/>
                          </pic:cNvPicPr>
                        </pic:nvPicPr>
                        <pic:blipFill>
                          <a:blip r:embed="rId20"/>
                          <a:stretch>
                            <a:fillRect/>
                          </a:stretch>
                        </pic:blipFill>
                        <pic:spPr>
                          <a:xfrm>
                            <a:off x="0" y="0"/>
                            <a:ext cx="1209675" cy="304800"/>
                          </a:xfrm>
                          <a:prstGeom prst="rect">
                            <a:avLst/>
                          </a:prstGeom>
                          <a:noFill/>
                          <a:ln>
                            <a:noFill/>
                          </a:ln>
                        </pic:spPr>
                      </pic:pic>
                    </a:graphicData>
                  </a:graphic>
                </wp:anchor>
              </w:drawing>
            </w:r>
            <w:r>
              <w:rPr>
                <w:color w:val="auto"/>
                <w:sz w:val="24"/>
                <w:highlight w:val="none"/>
              </w:rPr>
              <mc:AlternateContent>
                <mc:Choice Requires="wps">
                  <w:drawing>
                    <wp:anchor distT="0" distB="0" distL="114300" distR="114300" simplePos="0" relativeHeight="251691008" behindDoc="0" locked="0" layoutInCell="1" allowOverlap="1">
                      <wp:simplePos x="0" y="0"/>
                      <wp:positionH relativeFrom="column">
                        <wp:posOffset>3392805</wp:posOffset>
                      </wp:positionH>
                      <wp:positionV relativeFrom="paragraph">
                        <wp:posOffset>2891790</wp:posOffset>
                      </wp:positionV>
                      <wp:extent cx="189230" cy="20383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9230" cy="203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ED7D31" w:themeColor="accent2"/>
                                      <w:lang w:val="en-US" w:eastAsia="zh-CN"/>
                                      <w14:textFill>
                                        <w14:solidFill>
                                          <w14:schemeClr w14:val="accent2"/>
                                        </w14:solidFill>
                                      </w14:textFill>
                                    </w:rPr>
                                  </w:pPr>
                                  <w:r>
                                    <w:rPr>
                                      <w:rFonts w:hint="eastAsia"/>
                                      <w:b/>
                                      <w:bCs/>
                                      <w:color w:val="ED7D31" w:themeColor="accent2"/>
                                      <w:lang w:val="en-US" w:eastAsia="zh-CN"/>
                                      <w14:textFill>
                                        <w14:solidFill>
                                          <w14:schemeClr w14:val="accent2"/>
                                        </w14:solidFill>
                                      </w14:textFill>
                                    </w:rPr>
                                    <w:t>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67.15pt;margin-top:227.7pt;height:16.05pt;width:14.9pt;z-index:251691008;mso-width-relative:page;mso-height-relative:page;" filled="f" stroked="f" coordsize="21600,21600" o:gfxdata="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qatW9oAAAALAQAADwAAAAAAAAABACAAAAAiAAAAZHJzL2Rvd25yZXYu&#10;eG1sUEsBAhQAFAAAAAgAh07iQLXQXvUyAgAAWQQAAA4AAAAAAAAAAQAgAAAAKQEAAGRycy9lMm9E&#10;b2MueG1sUEsFBgAAAAAGAAYAWQEAAM0FAAAAAA==&#10;">
                      <v:fill on="f" focussize="0,0"/>
                      <v:stroke on="f" weight="0.5pt"/>
                      <v:imagedata o:title=""/>
                      <o:lock v:ext="edit" aspectratio="f"/>
                      <v:textbox inset="0mm,0mm,0mm,0mm">
                        <w:txbxContent>
                          <w:p>
                            <w:pPr>
                              <w:rPr>
                                <w:rFonts w:hint="default" w:eastAsia="宋体"/>
                                <w:b/>
                                <w:bCs/>
                                <w:color w:val="ED7D31" w:themeColor="accent2"/>
                                <w:lang w:val="en-US" w:eastAsia="zh-CN"/>
                                <w14:textFill>
                                  <w14:solidFill>
                                    <w14:schemeClr w14:val="accent2"/>
                                  </w14:solidFill>
                                </w14:textFill>
                              </w:rPr>
                            </w:pPr>
                            <w:r>
                              <w:rPr>
                                <w:rFonts w:hint="eastAsia"/>
                                <w:b/>
                                <w:bCs/>
                                <w:color w:val="ED7D31" w:themeColor="accent2"/>
                                <w:lang w:val="en-US" w:eastAsia="zh-CN"/>
                                <w14:textFill>
                                  <w14:solidFill>
                                    <w14:schemeClr w14:val="accent2"/>
                                  </w14:solidFill>
                                </w14:textFill>
                              </w:rPr>
                              <w:t>3#</w:t>
                            </w:r>
                          </w:p>
                        </w:txbxContent>
                      </v:textbox>
                    </v:shape>
                  </w:pict>
                </mc:Fallback>
              </mc:AlternateContent>
            </w:r>
            <w:r>
              <w:rPr>
                <w:color w:val="auto"/>
                <w:sz w:val="24"/>
                <w:highlight w:val="none"/>
              </w:rPr>
              <mc:AlternateContent>
                <mc:Choice Requires="wps">
                  <w:drawing>
                    <wp:anchor distT="0" distB="0" distL="114300" distR="114300" simplePos="0" relativeHeight="251689984" behindDoc="0" locked="0" layoutInCell="1" allowOverlap="1">
                      <wp:simplePos x="0" y="0"/>
                      <wp:positionH relativeFrom="column">
                        <wp:posOffset>2748280</wp:posOffset>
                      </wp:positionH>
                      <wp:positionV relativeFrom="paragraph">
                        <wp:posOffset>2503170</wp:posOffset>
                      </wp:positionV>
                      <wp:extent cx="189230" cy="20383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9230" cy="203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ED7D31" w:themeColor="accent2"/>
                                      <w:lang w:val="en-US" w:eastAsia="zh-CN"/>
                                      <w14:textFill>
                                        <w14:solidFill>
                                          <w14:schemeClr w14:val="accent2"/>
                                        </w14:solidFill>
                                      </w14:textFill>
                                    </w:rPr>
                                  </w:pPr>
                                  <w:r>
                                    <w:rPr>
                                      <w:rFonts w:hint="eastAsia"/>
                                      <w:b/>
                                      <w:bCs/>
                                      <w:color w:val="ED7D31" w:themeColor="accent2"/>
                                      <w:lang w:val="en-US" w:eastAsia="zh-CN"/>
                                      <w14:textFill>
                                        <w14:solidFill>
                                          <w14:schemeClr w14:val="accent2"/>
                                        </w14:solidFill>
                                      </w14:textFill>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6.4pt;margin-top:197.1pt;height:16.05pt;width:14.9pt;z-index:251689984;mso-width-relative:page;mso-height-relative:page;" filled="f" stroked="f" coordsize="21600,21600" o:gfxdata="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XNJ0p2QAAAAsBAAAPAAAAAAAAAAEAIAAAACIAAABkcnMvZG93bnJldi54&#10;bWxQSwECFAAUAAAACACHTuJAW49yqDICAABZBAAADgAAAAAAAAABACAAAAAoAQAAZHJzL2Uyb0Rv&#10;Yy54bWxQSwUGAAAAAAYABgBZAQAAzAUAAAAA&#10;">
                      <v:fill on="f" focussize="0,0"/>
                      <v:stroke on="f" weight="0.5pt"/>
                      <v:imagedata o:title=""/>
                      <o:lock v:ext="edit" aspectratio="f"/>
                      <v:textbox inset="0mm,0mm,0mm,0mm">
                        <w:txbxContent>
                          <w:p>
                            <w:pPr>
                              <w:rPr>
                                <w:rFonts w:hint="default" w:eastAsia="宋体"/>
                                <w:b/>
                                <w:bCs/>
                                <w:color w:val="ED7D31" w:themeColor="accent2"/>
                                <w:lang w:val="en-US" w:eastAsia="zh-CN"/>
                                <w14:textFill>
                                  <w14:solidFill>
                                    <w14:schemeClr w14:val="accent2"/>
                                  </w14:solidFill>
                                </w14:textFill>
                              </w:rPr>
                            </w:pPr>
                            <w:r>
                              <w:rPr>
                                <w:rFonts w:hint="eastAsia"/>
                                <w:b/>
                                <w:bCs/>
                                <w:color w:val="ED7D31" w:themeColor="accent2"/>
                                <w:lang w:val="en-US" w:eastAsia="zh-CN"/>
                                <w14:textFill>
                                  <w14:solidFill>
                                    <w14:schemeClr w14:val="accent2"/>
                                  </w14:solidFill>
                                </w14:textFill>
                              </w:rPr>
                              <w:t>2#</w:t>
                            </w:r>
                          </w:p>
                        </w:txbxContent>
                      </v:textbox>
                    </v:shape>
                  </w:pict>
                </mc:Fallback>
              </mc:AlternateContent>
            </w:r>
            <w:r>
              <w:rPr>
                <w:color w:val="auto"/>
                <w:sz w:val="24"/>
                <w:highlight w:val="none"/>
              </w:rPr>
              <mc:AlternateContent>
                <mc:Choice Requires="wps">
                  <w:drawing>
                    <wp:anchor distT="0" distB="0" distL="114300" distR="114300" simplePos="0" relativeHeight="251688960" behindDoc="0" locked="0" layoutInCell="1" allowOverlap="1">
                      <wp:simplePos x="0" y="0"/>
                      <wp:positionH relativeFrom="column">
                        <wp:posOffset>2279650</wp:posOffset>
                      </wp:positionH>
                      <wp:positionV relativeFrom="paragraph">
                        <wp:posOffset>2048510</wp:posOffset>
                      </wp:positionV>
                      <wp:extent cx="189230" cy="20383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9230" cy="203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ED7D31" w:themeColor="accent2"/>
                                      <w:lang w:val="en-US" w:eastAsia="zh-CN"/>
                                      <w14:textFill>
                                        <w14:solidFill>
                                          <w14:schemeClr w14:val="accent2"/>
                                        </w14:solidFill>
                                      </w14:textFill>
                                    </w:rPr>
                                  </w:pPr>
                                  <w:r>
                                    <w:rPr>
                                      <w:rFonts w:hint="eastAsia"/>
                                      <w:b/>
                                      <w:bCs/>
                                      <w:color w:val="ED7D31" w:themeColor="accent2"/>
                                      <w:lang w:val="en-US" w:eastAsia="zh-CN"/>
                                      <w14:textFill>
                                        <w14:solidFill>
                                          <w14:schemeClr w14:val="accent2"/>
                                        </w14:solidFill>
                                      </w14:textFill>
                                    </w:rPr>
                                    <w:t>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pt;margin-top:161.3pt;height:16.05pt;width:14.9pt;z-index:251688960;mso-width-relative:page;mso-height-relative:page;" filled="f" stroked="f" coordsize="21600,21600" o:gfxdata="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GhERZ2QAAAAsBAAAPAAAAAAAAAAEAIAAAACIAAABkcnMvZG93bnJldi54&#10;bWxQSwECFAAUAAAACACHTuJAZgCfuTICAABZBAAADgAAAAAAAAABACAAAAAoAQAAZHJzL2Uyb0Rv&#10;Yy54bWxQSwUGAAAAAAYABgBZAQAAzAUAAAAA&#10;">
                      <v:fill on="f" focussize="0,0"/>
                      <v:stroke on="f" weight="0.5pt"/>
                      <v:imagedata o:title=""/>
                      <o:lock v:ext="edit" aspectratio="f"/>
                      <v:textbox inset="0mm,0mm,0mm,0mm">
                        <w:txbxContent>
                          <w:p>
                            <w:pPr>
                              <w:rPr>
                                <w:rFonts w:hint="default" w:eastAsia="宋体"/>
                                <w:b/>
                                <w:bCs/>
                                <w:color w:val="ED7D31" w:themeColor="accent2"/>
                                <w:lang w:val="en-US" w:eastAsia="zh-CN"/>
                                <w14:textFill>
                                  <w14:solidFill>
                                    <w14:schemeClr w14:val="accent2"/>
                                  </w14:solidFill>
                                </w14:textFill>
                              </w:rPr>
                            </w:pPr>
                            <w:r>
                              <w:rPr>
                                <w:rFonts w:hint="eastAsia"/>
                                <w:b/>
                                <w:bCs/>
                                <w:color w:val="ED7D31" w:themeColor="accent2"/>
                                <w:lang w:val="en-US" w:eastAsia="zh-CN"/>
                                <w14:textFill>
                                  <w14:solidFill>
                                    <w14:schemeClr w14:val="accent2"/>
                                  </w14:solidFill>
                                </w14:textFill>
                              </w:rPr>
                              <w:t>1#</w:t>
                            </w:r>
                          </w:p>
                        </w:txbxContent>
                      </v:textbox>
                    </v:shape>
                  </w:pict>
                </mc:Fallback>
              </mc:AlternateContent>
            </w:r>
            <w:r>
              <w:rPr>
                <w:color w:val="auto"/>
                <w:sz w:val="24"/>
                <w:highlight w:val="none"/>
              </w:rPr>
              <mc:AlternateContent>
                <mc:Choice Requires="wps">
                  <w:drawing>
                    <wp:anchor distT="0" distB="0" distL="114300" distR="114300" simplePos="0" relativeHeight="251687936" behindDoc="0" locked="0" layoutInCell="1" allowOverlap="1">
                      <wp:simplePos x="0" y="0"/>
                      <wp:positionH relativeFrom="column">
                        <wp:posOffset>3275965</wp:posOffset>
                      </wp:positionH>
                      <wp:positionV relativeFrom="paragraph">
                        <wp:posOffset>3044825</wp:posOffset>
                      </wp:positionV>
                      <wp:extent cx="124460" cy="124460"/>
                      <wp:effectExtent l="0" t="0" r="8890" b="8890"/>
                      <wp:wrapNone/>
                      <wp:docPr id="117" name="椭圆 117"/>
                      <wp:cNvGraphicFramePr/>
                      <a:graphic xmlns:a="http://schemas.openxmlformats.org/drawingml/2006/main">
                        <a:graphicData uri="http://schemas.microsoft.com/office/word/2010/wordprocessingShape">
                          <wps:wsp>
                            <wps:cNvSpPr/>
                            <wps:spPr>
                              <a:xfrm>
                                <a:off x="0" y="0"/>
                                <a:ext cx="124460" cy="12446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7.95pt;margin-top:239.75pt;height:9.8pt;width:9.8pt;z-index:251687936;v-text-anchor:middle;mso-width-relative:page;mso-height-relative:page;" fillcolor="#ED7D31 [3205]" filled="t" stroked="f" coordsize="21600,21600" o:gfxdata="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PVb9baAAAACwEAAA8AAAAAAAAAAQAgAAAAIgAAAGRycy9kb3ducmV2&#10;LnhtbFBLAQIUABQAAAAIAIdO4kBuAX7lbAIAANEEAAAOAAAAAAAAAAEAIAAAACkBAABkcnMvZTJv&#10;RG9jLnhtbFBLBQYAAAAABgAGAFkBAAAHBgAAAAA=&#10;">
                      <v:fill on="t" focussize="0,0"/>
                      <v:stroke on="f" weight="1pt" miterlimit="8"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686912" behindDoc="0" locked="0" layoutInCell="1" allowOverlap="1">
                      <wp:simplePos x="0" y="0"/>
                      <wp:positionH relativeFrom="column">
                        <wp:posOffset>2602230</wp:posOffset>
                      </wp:positionH>
                      <wp:positionV relativeFrom="paragraph">
                        <wp:posOffset>2539365</wp:posOffset>
                      </wp:positionV>
                      <wp:extent cx="124460" cy="124460"/>
                      <wp:effectExtent l="0" t="0" r="8890" b="8890"/>
                      <wp:wrapNone/>
                      <wp:docPr id="115" name="椭圆 115"/>
                      <wp:cNvGraphicFramePr/>
                      <a:graphic xmlns:a="http://schemas.openxmlformats.org/drawingml/2006/main">
                        <a:graphicData uri="http://schemas.microsoft.com/office/word/2010/wordprocessingShape">
                          <wps:wsp>
                            <wps:cNvSpPr/>
                            <wps:spPr>
                              <a:xfrm>
                                <a:off x="0" y="0"/>
                                <a:ext cx="124460" cy="12446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4.9pt;margin-top:199.95pt;height:9.8pt;width:9.8pt;z-index:251686912;v-text-anchor:middle;mso-width-relative:page;mso-height-relative:page;" fillcolor="#ED7D31 [3205]" filled="t" stroked="f" coordsize="21600,21600" o:gfxdata="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nEvrPaAAAACwEAAA8AAAAAAAAAAQAgAAAAIgAAAGRycy9kb3ducmV2&#10;LnhtbFBLAQIUABQAAAAIAIdO4kC2CPN3bAIAANEEAAAOAAAAAAAAAAEAIAAAACkBAABkcnMvZTJv&#10;RG9jLnhtbFBLBQYAAAAABgAGAFkBAAAHBgAAAAA=&#10;">
                      <v:fill on="t" focussize="0,0"/>
                      <v:stroke on="f" weight="1pt" miterlimit="8"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685888" behindDoc="0" locked="0" layoutInCell="1" allowOverlap="1">
                      <wp:simplePos x="0" y="0"/>
                      <wp:positionH relativeFrom="column">
                        <wp:posOffset>2140585</wp:posOffset>
                      </wp:positionH>
                      <wp:positionV relativeFrom="paragraph">
                        <wp:posOffset>2099945</wp:posOffset>
                      </wp:positionV>
                      <wp:extent cx="124460" cy="124460"/>
                      <wp:effectExtent l="0" t="0" r="8890" b="8890"/>
                      <wp:wrapNone/>
                      <wp:docPr id="114" name="椭圆 114"/>
                      <wp:cNvGraphicFramePr/>
                      <a:graphic xmlns:a="http://schemas.openxmlformats.org/drawingml/2006/main">
                        <a:graphicData uri="http://schemas.microsoft.com/office/word/2010/wordprocessingShape">
                          <wps:wsp>
                            <wps:cNvSpPr/>
                            <wps:spPr>
                              <a:xfrm>
                                <a:off x="2612390" y="6981825"/>
                                <a:ext cx="124460" cy="12446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8.55pt;margin-top:165.35pt;height:9.8pt;width:9.8pt;z-index:251685888;v-text-anchor:middle;mso-width-relative:page;mso-height-relative:page;" fillcolor="#ED7D31 [3205]" filled="t" stroked="f" coordsize="21600,21600" o:gfxdata="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CodmO2AAAAAsBAAAPAAAAAAAAAAEAIAAAACIA&#10;AABkcnMvZG93bnJldi54bWxQSwECFAAUAAAACACHTuJAL7Z2rHsCAADdBAAADgAAAAAAAAABACAA&#10;AAAnAQAAZHJzL2Uyb0RvYy54bWxQSwUGAAAAAAYABgBZAQAAFAYAAAAA&#10;">
                      <v:fill on="t" focussize="0,0"/>
                      <v:stroke on="f" weight="1pt" miterlimit="8"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684864" behindDoc="0" locked="0" layoutInCell="1" allowOverlap="1">
                      <wp:simplePos x="0" y="0"/>
                      <wp:positionH relativeFrom="column">
                        <wp:posOffset>1690370</wp:posOffset>
                      </wp:positionH>
                      <wp:positionV relativeFrom="paragraph">
                        <wp:posOffset>1863725</wp:posOffset>
                      </wp:positionV>
                      <wp:extent cx="2079625" cy="1516380"/>
                      <wp:effectExtent l="11430" t="11430" r="23495" b="15240"/>
                      <wp:wrapNone/>
                      <wp:docPr id="113" name="任意多边形 113"/>
                      <wp:cNvGraphicFramePr/>
                      <a:graphic xmlns:a="http://schemas.openxmlformats.org/drawingml/2006/main">
                        <a:graphicData uri="http://schemas.microsoft.com/office/word/2010/wordprocessingShape">
                          <wps:wsp>
                            <wps:cNvSpPr/>
                            <wps:spPr>
                              <a:xfrm>
                                <a:off x="2880360" y="6598920"/>
                                <a:ext cx="2079625" cy="1516380"/>
                              </a:xfrm>
                              <a:custGeom>
                                <a:avLst/>
                                <a:gdLst>
                                  <a:gd name="connisteX0" fmla="*/ 277495 w 2079625"/>
                                  <a:gd name="connsiteY0" fmla="*/ 0 h 1516380"/>
                                  <a:gd name="connisteX1" fmla="*/ 0 w 2079625"/>
                                  <a:gd name="connsiteY1" fmla="*/ 1174750 h 1516380"/>
                                  <a:gd name="connisteX2" fmla="*/ 1936750 w 2079625"/>
                                  <a:gd name="connsiteY2" fmla="*/ 1516380 h 1516380"/>
                                  <a:gd name="connisteX3" fmla="*/ 2079625 w 2079625"/>
                                  <a:gd name="connsiteY3" fmla="*/ 421005 h 1516380"/>
                                  <a:gd name="connisteX4" fmla="*/ 277495 w 2079625"/>
                                  <a:gd name="connsiteY4" fmla="*/ 0 h 151638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079625" h="1516380">
                                    <a:moveTo>
                                      <a:pt x="277495" y="0"/>
                                    </a:moveTo>
                                    <a:lnTo>
                                      <a:pt x="0" y="1174750"/>
                                    </a:lnTo>
                                    <a:lnTo>
                                      <a:pt x="1936750" y="1516380"/>
                                    </a:lnTo>
                                    <a:lnTo>
                                      <a:pt x="2079625" y="421005"/>
                                    </a:lnTo>
                                    <a:lnTo>
                                      <a:pt x="277495" y="0"/>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33.1pt;margin-top:146.75pt;height:119.4pt;width:163.75pt;z-index:251684864;mso-width-relative:page;mso-height-relative:page;" filled="f" stroked="t" coordsize="2079625,1516380" o:gfxdata="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C61RHK1wAAAAsBAAAPAAAAAAAAAAEAIAAAACIAAABkcnMv&#10;ZG93bnJldi54bWxQSwECFAAUAAAACACHTuJAhwU2ICEDAABmCAAADgAAAAAAAAABACAAAAAmAQAA&#10;ZHJzL2Uyb0RvYy54bWxQSwUGAAAAAAYABgBZAQAAuQYAAAAA&#10;" path="m277495,0l0,1174750,1936750,1516380,2079625,421005,277495,0xe">
                      <v:path o:connectlocs="277495,0;0,1174750;1936750,1516380;2079625,421005;277495,0" o:connectangles="0,0,0,0,0"/>
                      <v:fill on="f" focussize="0,0"/>
                      <v:stroke weight="1.5pt" color="#FF0000 [3204]" miterlimit="8" joinstyle="miter"/>
                      <v:imagedata o:title=""/>
                      <o:lock v:ext="edit" aspectratio="f"/>
                    </v:shape>
                  </w:pict>
                </mc:Fallback>
              </mc:AlternateContent>
            </w:r>
            <w:r>
              <w:rPr>
                <w:color w:val="auto"/>
                <w:highlight w:val="none"/>
              </w:rPr>
              <w:drawing>
                <wp:inline distT="0" distB="0" distL="114300" distR="114300">
                  <wp:extent cx="4465955" cy="4479290"/>
                  <wp:effectExtent l="19050" t="19050" r="29845" b="35560"/>
                  <wp:docPr id="1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
                          <pic:cNvPicPr>
                            <a:picLocks noChangeAspect="1"/>
                          </pic:cNvPicPr>
                        </pic:nvPicPr>
                        <pic:blipFill>
                          <a:blip r:embed="rId21"/>
                          <a:stretch>
                            <a:fillRect/>
                          </a:stretch>
                        </pic:blipFill>
                        <pic:spPr>
                          <a:xfrm>
                            <a:off x="0" y="0"/>
                            <a:ext cx="4465955" cy="4479290"/>
                          </a:xfrm>
                          <a:prstGeom prst="rect">
                            <a:avLst/>
                          </a:prstGeom>
                          <a:noFill/>
                          <a:ln w="19050">
                            <a:solidFill>
                              <a:schemeClr val="tx1"/>
                            </a:solidFill>
                          </a:ln>
                        </pic:spPr>
                      </pic:pic>
                    </a:graphicData>
                  </a:graphic>
                </wp:inline>
              </w:drawing>
            </w:r>
          </w:p>
          <w:p>
            <w:pPr>
              <w:pStyle w:val="2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图3-1 土壤监测点位示意图</w:t>
            </w:r>
          </w:p>
          <w:p>
            <w:pPr>
              <w:pStyle w:val="23"/>
              <w:snapToGrid w:val="0"/>
              <w:spacing w:before="120" w:beforeLines="50"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根据对所在区域土壤环境进行了现状监测，监测结果如下：</w:t>
            </w:r>
          </w:p>
          <w:p>
            <w:pPr>
              <w:pStyle w:val="23"/>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表3-</w:t>
            </w:r>
            <w:r>
              <w:rPr>
                <w:rFonts w:hint="eastAsia" w:ascii="Times New Roman" w:hAnsi="Times New Roman" w:cs="Times New Roman"/>
                <w:b/>
                <w:bCs/>
                <w:color w:val="auto"/>
                <w:sz w:val="21"/>
                <w:szCs w:val="21"/>
                <w:highlight w:val="none"/>
                <w:lang w:val="en-US" w:eastAsia="zh-CN"/>
              </w:rPr>
              <w:t xml:space="preserve">4 </w:t>
            </w:r>
            <w:r>
              <w:rPr>
                <w:rFonts w:hint="default" w:ascii="Times New Roman" w:hAnsi="Times New Roman" w:cs="Times New Roman"/>
                <w:b/>
                <w:bCs/>
                <w:color w:val="auto"/>
                <w:sz w:val="21"/>
                <w:szCs w:val="21"/>
                <w:highlight w:val="none"/>
              </w:rPr>
              <w:t>土壤监测结果</w:t>
            </w:r>
            <w:r>
              <w:rPr>
                <w:rFonts w:hint="eastAsia" w:ascii="Times New Roman" w:hAnsi="Times New Roman" w:cs="Times New Roman"/>
                <w:b/>
                <w:bCs/>
                <w:color w:val="auto"/>
                <w:sz w:val="21"/>
                <w:szCs w:val="21"/>
                <w:highlight w:val="none"/>
                <w:lang w:eastAsia="zh-CN"/>
              </w:rPr>
              <w:t>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96"/>
              <w:gridCol w:w="1470"/>
              <w:gridCol w:w="1523"/>
              <w:gridCol w:w="1566"/>
              <w:gridCol w:w="1173"/>
              <w:gridCol w:w="117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vMerge w:val="restart"/>
                  <w:noWrap w:val="0"/>
                  <w:vAlign w:val="center"/>
                </w:tcPr>
                <w:p>
                  <w:pPr>
                    <w:pStyle w:val="39"/>
                    <w:keepNext w:val="0"/>
                    <w:keepLines w:val="0"/>
                    <w:pageBreakBefore w:val="0"/>
                    <w:kinsoku/>
                    <w:wordWrap/>
                    <w:overflowPunct/>
                    <w:topLinePunct w:val="0"/>
                    <w:autoSpaceDE/>
                    <w:autoSpaceDN/>
                    <w:bidi w:val="0"/>
                    <w:adjustRightInd w:val="0"/>
                    <w:snapToGrid w:val="0"/>
                    <w:ind w:firstLine="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监测项目</w:t>
                  </w:r>
                </w:p>
                <w:p>
                  <w:pPr>
                    <w:pStyle w:val="39"/>
                    <w:keepNext w:val="0"/>
                    <w:keepLines w:val="0"/>
                    <w:pageBreakBefore w:val="0"/>
                    <w:kinsoku/>
                    <w:wordWrap/>
                    <w:overflowPunct/>
                    <w:topLinePunct w:val="0"/>
                    <w:autoSpaceDE/>
                    <w:autoSpaceDN/>
                    <w:bidi w:val="0"/>
                    <w:adjustRightInd w:val="0"/>
                    <w:snapToGrid w:val="0"/>
                    <w:ind w:firstLine="0"/>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val="0"/>
                      <w:color w:val="auto"/>
                      <w:sz w:val="21"/>
                      <w:szCs w:val="21"/>
                      <w:highlight w:val="none"/>
                    </w:rPr>
                    <w:t>(mg/kg)</w:t>
                  </w:r>
                </w:p>
              </w:tc>
              <w:tc>
                <w:tcPr>
                  <w:tcW w:w="2649" w:type="pct"/>
                  <w:gridSpan w:val="3"/>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监测结果（mg/kg）</w:t>
                  </w:r>
                </w:p>
              </w:tc>
              <w:tc>
                <w:tcPr>
                  <w:tcW w:w="681" w:type="pct"/>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检出限（mg/kg）</w:t>
                  </w:r>
                </w:p>
              </w:tc>
              <w:tc>
                <w:tcPr>
                  <w:tcW w:w="681" w:type="pct"/>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标准（mg/kg）</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vMerge w:val="continue"/>
                  <w:noWrap w:val="0"/>
                  <w:vAlign w:val="center"/>
                </w:tcPr>
                <w:p>
                  <w:pPr>
                    <w:pStyle w:val="39"/>
                    <w:keepNext w:val="0"/>
                    <w:keepLines w:val="0"/>
                    <w:pageBreakBefore w:val="0"/>
                    <w:kinsoku/>
                    <w:wordWrap/>
                    <w:overflowPunct/>
                    <w:topLinePunct w:val="0"/>
                    <w:autoSpaceDE/>
                    <w:autoSpaceDN/>
                    <w:bidi w:val="0"/>
                    <w:adjustRightInd w:val="0"/>
                    <w:snapToGrid w:val="0"/>
                    <w:ind w:firstLine="0"/>
                    <w:rPr>
                      <w:rFonts w:hint="default" w:ascii="Times New Roman" w:hAnsi="Times New Roman" w:eastAsia="宋体" w:cs="Times New Roman"/>
                      <w:b w:val="0"/>
                      <w:bCs/>
                      <w:color w:val="auto"/>
                      <w:sz w:val="21"/>
                      <w:szCs w:val="21"/>
                      <w:highlight w:val="none"/>
                    </w:rPr>
                  </w:pPr>
                </w:p>
              </w:tc>
              <w:tc>
                <w:tcPr>
                  <w:tcW w:w="854" w:type="pct"/>
                  <w:noWrap w:val="0"/>
                  <w:vAlign w:val="center"/>
                </w:tcPr>
                <w:p>
                  <w:pPr>
                    <w:keepNext w:val="0"/>
                    <w:keepLines w:val="0"/>
                    <w:pageBreakBefore w:val="0"/>
                    <w:tabs>
                      <w:tab w:val="left" w:pos="1424"/>
                    </w:tabs>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2#</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3#</w:t>
                  </w:r>
                </w:p>
              </w:tc>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p>
              </w:tc>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pH</w:t>
                  </w:r>
                </w:p>
              </w:tc>
              <w:tc>
                <w:tcPr>
                  <w:tcW w:w="854"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8.12</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7.98</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8.09</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681" w:type="pct"/>
                  <w:noWrap w:val="0"/>
                  <w:vAlign w:val="center"/>
                </w:tcPr>
                <w:p>
                  <w:pPr>
                    <w:keepNext w:val="0"/>
                    <w:keepLines w:val="0"/>
                    <w:pageBreakBefore w:val="0"/>
                    <w:kinsoku/>
                    <w:wordWrap/>
                    <w:overflowPunct/>
                    <w:topLinePunct w:val="0"/>
                    <w:autoSpaceDE/>
                    <w:autoSpaceDN w:val="0"/>
                    <w:bidi w:val="0"/>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bidi w:val="0"/>
                    <w:adjustRightInd w:val="0"/>
                    <w:snapToGrid w:val="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eastAsia="zh-CN"/>
                    </w:rPr>
                    <w:t>石油烃</w:t>
                  </w:r>
                </w:p>
              </w:tc>
              <w:tc>
                <w:tcPr>
                  <w:tcW w:w="854"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19</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22</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16</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w:t>
                  </w:r>
                </w:p>
              </w:tc>
              <w:tc>
                <w:tcPr>
                  <w:tcW w:w="681" w:type="pct"/>
                  <w:noWrap w:val="0"/>
                  <w:vAlign w:val="center"/>
                </w:tcPr>
                <w:p>
                  <w:pPr>
                    <w:keepNext w:val="0"/>
                    <w:keepLines w:val="0"/>
                    <w:pageBreakBefore w:val="0"/>
                    <w:kinsoku/>
                    <w:wordWrap/>
                    <w:overflowPunct/>
                    <w:topLinePunct w:val="0"/>
                    <w:autoSpaceDE/>
                    <w:autoSpaceDN w:val="0"/>
                    <w:bidi w:val="0"/>
                    <w:adjustRightInd w:val="0"/>
                    <w:snapToGrid w:val="0"/>
                    <w:jc w:val="center"/>
                    <w:textAlignment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铜</w:t>
                  </w:r>
                </w:p>
              </w:tc>
              <w:tc>
                <w:tcPr>
                  <w:tcW w:w="854"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12</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w:t>
                  </w:r>
                </w:p>
              </w:tc>
              <w:tc>
                <w:tcPr>
                  <w:tcW w:w="681" w:type="pct"/>
                  <w:noWrap w:val="0"/>
                  <w:vAlign w:val="center"/>
                </w:tcPr>
                <w:p>
                  <w:pPr>
                    <w:keepNext w:val="0"/>
                    <w:keepLines w:val="0"/>
                    <w:pageBreakBefore w:val="0"/>
                    <w:kinsoku/>
                    <w:wordWrap/>
                    <w:overflowPunct/>
                    <w:topLinePunct w:val="0"/>
                    <w:autoSpaceDE/>
                    <w:autoSpaceDN w:val="0"/>
                    <w:bidi w:val="0"/>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18000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铅</w:t>
                  </w:r>
                </w:p>
              </w:tc>
              <w:tc>
                <w:tcPr>
                  <w:tcW w:w="854"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18.5</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0.1</w:t>
                  </w:r>
                </w:p>
              </w:tc>
              <w:tc>
                <w:tcPr>
                  <w:tcW w:w="681" w:type="pct"/>
                  <w:noWrap w:val="0"/>
                  <w:vAlign w:val="center"/>
                </w:tcPr>
                <w:p>
                  <w:pPr>
                    <w:keepNext w:val="0"/>
                    <w:keepLines w:val="0"/>
                    <w:pageBreakBefore w:val="0"/>
                    <w:kinsoku/>
                    <w:wordWrap/>
                    <w:overflowPunct/>
                    <w:topLinePunct w:val="0"/>
                    <w:autoSpaceDE/>
                    <w:autoSpaceDN w:val="0"/>
                    <w:bidi w:val="0"/>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800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镍</w:t>
                  </w:r>
                </w:p>
              </w:tc>
              <w:tc>
                <w:tcPr>
                  <w:tcW w:w="854"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21</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w:t>
                  </w:r>
                </w:p>
              </w:tc>
              <w:tc>
                <w:tcPr>
                  <w:tcW w:w="681" w:type="pct"/>
                  <w:noWrap w:val="0"/>
                  <w:vAlign w:val="center"/>
                </w:tcPr>
                <w:p>
                  <w:pPr>
                    <w:keepNext w:val="0"/>
                    <w:keepLines w:val="0"/>
                    <w:pageBreakBefore w:val="0"/>
                    <w:kinsoku/>
                    <w:wordWrap/>
                    <w:overflowPunct/>
                    <w:topLinePunct w:val="0"/>
                    <w:autoSpaceDE/>
                    <w:autoSpaceDN w:val="0"/>
                    <w:bidi w:val="0"/>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900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镉</w:t>
                  </w:r>
                </w:p>
              </w:tc>
              <w:tc>
                <w:tcPr>
                  <w:tcW w:w="854"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0.05</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0.01</w:t>
                  </w:r>
                </w:p>
              </w:tc>
              <w:tc>
                <w:tcPr>
                  <w:tcW w:w="681" w:type="pct"/>
                  <w:noWrap w:val="0"/>
                  <w:vAlign w:val="center"/>
                </w:tcPr>
                <w:p>
                  <w:pPr>
                    <w:keepNext w:val="0"/>
                    <w:keepLines w:val="0"/>
                    <w:pageBreakBefore w:val="0"/>
                    <w:kinsoku/>
                    <w:wordWrap/>
                    <w:overflowPunct/>
                    <w:topLinePunct w:val="0"/>
                    <w:autoSpaceDE/>
                    <w:autoSpaceDN w:val="0"/>
                    <w:bidi w:val="0"/>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汞</w:t>
                  </w:r>
                </w:p>
              </w:tc>
              <w:tc>
                <w:tcPr>
                  <w:tcW w:w="854"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0.014</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0.002</w:t>
                  </w:r>
                </w:p>
              </w:tc>
              <w:tc>
                <w:tcPr>
                  <w:tcW w:w="681" w:type="pct"/>
                  <w:noWrap w:val="0"/>
                  <w:vAlign w:val="center"/>
                </w:tcPr>
                <w:p>
                  <w:pPr>
                    <w:keepNext w:val="0"/>
                    <w:keepLines w:val="0"/>
                    <w:pageBreakBefore w:val="0"/>
                    <w:kinsoku/>
                    <w:wordWrap/>
                    <w:overflowPunct/>
                    <w:topLinePunct w:val="0"/>
                    <w:autoSpaceDE/>
                    <w:autoSpaceDN w:val="0"/>
                    <w:bidi w:val="0"/>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砷</w:t>
                  </w:r>
                </w:p>
              </w:tc>
              <w:tc>
                <w:tcPr>
                  <w:tcW w:w="854"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15.3</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0.01</w:t>
                  </w:r>
                </w:p>
              </w:tc>
              <w:tc>
                <w:tcPr>
                  <w:tcW w:w="681" w:type="pct"/>
                  <w:noWrap w:val="0"/>
                  <w:vAlign w:val="center"/>
                </w:tcPr>
                <w:p>
                  <w:pPr>
                    <w:keepNext w:val="0"/>
                    <w:keepLines w:val="0"/>
                    <w:pageBreakBefore w:val="0"/>
                    <w:kinsoku/>
                    <w:wordWrap/>
                    <w:overflowPunct/>
                    <w:topLinePunct w:val="0"/>
                    <w:autoSpaceDE/>
                    <w:autoSpaceDN w:val="0"/>
                    <w:bidi w:val="0"/>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六价铬</w:t>
                  </w:r>
                </w:p>
              </w:tc>
              <w:tc>
                <w:tcPr>
                  <w:tcW w:w="854"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0.5</w:t>
                  </w:r>
                </w:p>
              </w:tc>
              <w:tc>
                <w:tcPr>
                  <w:tcW w:w="681" w:type="pct"/>
                  <w:noWrap w:val="0"/>
                  <w:vAlign w:val="center"/>
                </w:tcPr>
                <w:p>
                  <w:pPr>
                    <w:keepNext w:val="0"/>
                    <w:keepLines w:val="0"/>
                    <w:pageBreakBefore w:val="0"/>
                    <w:kinsoku/>
                    <w:wordWrap/>
                    <w:overflowPunct/>
                    <w:topLinePunct w:val="0"/>
                    <w:autoSpaceDE/>
                    <w:autoSpaceDN w:val="0"/>
                    <w:bidi w:val="0"/>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5.7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四氯化碳</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1.3×10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氯仿</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氯甲烷</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1,1-二氯乙烷</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1.2×10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1,2-二氯乙烷</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1.3×10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1,1-二氯乙烯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1.0×10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顺-1,2-二氯乙烯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1.3×10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反-1,2-二氯乙烯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1.4×10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二氯甲烷</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3.1</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1.5×10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616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1,2-二氯丙烷</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1,1,1,2-四氯乙烷</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1.2×10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1,1,2,2-四氯乙烷</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1.2×10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四氯乙烯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1.4×10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1,1,1-三氯乙烷</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1.3×10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1,1,2-三氯乙烷</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1.2×10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三氯乙烯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1.2×10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1,2,3-三氯丙烷</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1.2×10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氯乙烯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1.0×10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1.9×10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1.2×10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1.5×10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1,4-二氯苯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1.5×10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乙苯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1.2×10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苯乙烯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1.3×10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间/对二甲苯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1.2×10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邻二甲苯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1.2×10</w:t>
                  </w:r>
                  <w:r>
                    <w:rPr>
                      <w:rFonts w:hint="default" w:ascii="Times New Roman" w:hAnsi="Times New Roman" w:cs="Times New Roman"/>
                      <w:color w:val="auto"/>
                      <w:sz w:val="21"/>
                      <w:szCs w:val="21"/>
                      <w:highlight w:val="none"/>
                      <w:vertAlign w:val="superscript"/>
                      <w:lang w:val="en-US" w:eastAsia="zh-CN"/>
                    </w:rPr>
                    <w:t>-3</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硝基苯</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0.09</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苯胺</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2-氯酚</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0.06</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2256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苯并[a]蒽</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苯并[a]芘</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苯并[b]荧蒽</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910"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苯并[k]荧蒽</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二苯并[a,h]蒽</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1293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䓛</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茚并[1,2,3-cd]芘</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萘</w:t>
                  </w:r>
                </w:p>
              </w:tc>
              <w:tc>
                <w:tcPr>
                  <w:tcW w:w="854"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ND</w:t>
                  </w:r>
                </w:p>
              </w:tc>
              <w:tc>
                <w:tcPr>
                  <w:tcW w:w="885"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w:t>
                  </w:r>
                </w:p>
              </w:tc>
              <w:tc>
                <w:tcPr>
                  <w:tcW w:w="910"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w:t>
                  </w:r>
                </w:p>
              </w:tc>
              <w:tc>
                <w:tcPr>
                  <w:tcW w:w="681"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0.09</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86" w:type="pct"/>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c>
                <w:tcPr>
                  <w:tcW w:w="4013" w:type="pct"/>
                  <w:gridSpan w:val="5"/>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cs="Times New Roman"/>
                      <w:bCs/>
                      <w:snapToGrid w:val="0"/>
                      <w:color w:val="auto"/>
                      <w:kern w:val="0"/>
                      <w:sz w:val="21"/>
                      <w:szCs w:val="21"/>
                      <w:highlight w:val="none"/>
                    </w:rPr>
                  </w:pPr>
                  <w:r>
                    <w:rPr>
                      <w:rFonts w:hint="default" w:ascii="Times New Roman" w:hAnsi="Times New Roman" w:cs="Times New Roman"/>
                      <w:bCs/>
                      <w:snapToGrid w:val="0"/>
                      <w:color w:val="auto"/>
                      <w:kern w:val="0"/>
                      <w:sz w:val="21"/>
                      <w:szCs w:val="21"/>
                      <w:highlight w:val="none"/>
                    </w:rPr>
                    <w:t>“</w:t>
                  </w:r>
                  <w:r>
                    <w:rPr>
                      <w:rFonts w:hint="default" w:ascii="Times New Roman" w:hAnsi="Times New Roman" w:cs="Times New Roman"/>
                      <w:bCs/>
                      <w:color w:val="auto"/>
                      <w:sz w:val="21"/>
                      <w:szCs w:val="21"/>
                      <w:highlight w:val="none"/>
                    </w:rPr>
                    <w:t>ND</w:t>
                  </w:r>
                  <w:r>
                    <w:rPr>
                      <w:rFonts w:hint="default" w:ascii="Times New Roman" w:hAnsi="Times New Roman" w:cs="Times New Roman"/>
                      <w:bCs/>
                      <w:snapToGrid w:val="0"/>
                      <w:color w:val="auto"/>
                      <w:kern w:val="0"/>
                      <w:sz w:val="21"/>
                      <w:szCs w:val="21"/>
                      <w:highlight w:val="none"/>
                    </w:rPr>
                    <w:t>”表示小于检出限</w:t>
                  </w:r>
                </w:p>
              </w:tc>
            </w:tr>
          </w:tbl>
          <w:p>
            <w:pPr>
              <w:pStyle w:val="23"/>
              <w:snapToGrid w:val="0"/>
              <w:spacing w:before="120" w:beforeLines="50" w:line="360" w:lineRule="auto"/>
              <w:ind w:firstLine="480" w:firstLineChars="200"/>
              <w:jc w:val="both"/>
              <w:rPr>
                <w:rFonts w:hint="default" w:ascii="Times New Roman" w:hAnsi="Times New Roman" w:cs="Times New Roman"/>
                <w:bCs/>
                <w:color w:val="auto"/>
                <w:szCs w:val="22"/>
                <w:highlight w:val="none"/>
              </w:rPr>
            </w:pPr>
            <w:r>
              <w:rPr>
                <w:rFonts w:hint="default" w:ascii="Times New Roman" w:hAnsi="Times New Roman" w:cs="Times New Roman"/>
                <w:bCs/>
                <w:color w:val="auto"/>
                <w:szCs w:val="22"/>
                <w:highlight w:val="none"/>
              </w:rPr>
              <w:t>由上表可知，项目区域土壤环境质量现状满足《土壤环境质量 建设用地土壤污染风险管控标准（试行）》（GB36600-2018）中第二类用地相关标准。</w:t>
            </w:r>
          </w:p>
          <w:p>
            <w:pPr>
              <w:pStyle w:val="4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评价范围内选择1</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rPr>
              <w:t>监测点位调查评价范围内土壤理化特性，</w:t>
            </w:r>
            <w:r>
              <w:rPr>
                <w:rFonts w:hint="eastAsia" w:ascii="Times New Roman" w:hAnsi="Times New Roman" w:eastAsia="宋体" w:cs="Times New Roman"/>
                <w:b w:val="0"/>
                <w:bCs/>
                <w:color w:val="auto"/>
                <w:sz w:val="24"/>
                <w:szCs w:val="24"/>
                <w:highlight w:val="none"/>
                <w:lang w:eastAsia="zh-CN"/>
              </w:rPr>
              <w:t>调查结果</w:t>
            </w:r>
            <w:r>
              <w:rPr>
                <w:rFonts w:hint="default" w:ascii="Times New Roman" w:hAnsi="Times New Roman" w:eastAsia="宋体" w:cs="Times New Roman"/>
                <w:b w:val="0"/>
                <w:bCs/>
                <w:color w:val="auto"/>
                <w:sz w:val="24"/>
                <w:szCs w:val="24"/>
                <w:highlight w:val="none"/>
              </w:rPr>
              <w:t>如</w:t>
            </w:r>
            <w:r>
              <w:rPr>
                <w:rFonts w:hint="eastAsia" w:ascii="Times New Roman" w:hAnsi="Times New Roman" w:eastAsia="宋体" w:cs="Times New Roman"/>
                <w:b w:val="0"/>
                <w:bCs/>
                <w:color w:val="auto"/>
                <w:sz w:val="24"/>
                <w:szCs w:val="24"/>
                <w:highlight w:val="none"/>
                <w:lang w:eastAsia="zh-CN"/>
              </w:rPr>
              <w:t>下</w:t>
            </w:r>
            <w:r>
              <w:rPr>
                <w:rFonts w:hint="default" w:ascii="Times New Roman" w:hAnsi="Times New Roman" w:eastAsia="宋体" w:cs="Times New Roman"/>
                <w:b w:val="0"/>
                <w:bCs/>
                <w:color w:val="auto"/>
                <w:sz w:val="24"/>
                <w:szCs w:val="24"/>
                <w:highlight w:val="none"/>
              </w:rPr>
              <w:t>。</w:t>
            </w:r>
          </w:p>
          <w:p>
            <w:pPr>
              <w:pStyle w:val="41"/>
              <w:keepNext w:val="0"/>
              <w:keepLines w:val="0"/>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eastAsia" w:ascii="Times New Roman" w:hAnsi="Times New Roman" w:eastAsia="宋体" w:cs="Times New Roman"/>
                <w:b/>
                <w:bCs w:val="0"/>
                <w:color w:val="auto"/>
                <w:sz w:val="21"/>
                <w:szCs w:val="21"/>
                <w:highlight w:val="none"/>
                <w:lang w:val="en-US" w:eastAsia="zh-CN"/>
              </w:rPr>
              <w:t>3-5</w:t>
            </w:r>
            <w:r>
              <w:rPr>
                <w:rFonts w:hint="default" w:ascii="Times New Roman" w:hAnsi="Times New Roman" w:eastAsia="宋体" w:cs="Times New Roman"/>
                <w:b/>
                <w:bCs w:val="0"/>
                <w:color w:val="auto"/>
                <w:sz w:val="21"/>
                <w:szCs w:val="21"/>
                <w:highlight w:val="none"/>
              </w:rPr>
              <w:t xml:space="preserve">  土壤理化特性调查表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3379"/>
              <w:gridCol w:w="3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pct"/>
                  <w:gridSpan w:val="2"/>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时间</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2</w:t>
                  </w:r>
                  <w:r>
                    <w:rPr>
                      <w:rFonts w:hint="eastAsia" w:hAnsi="Times New Roman" w:eastAsia="宋体" w:cs="Times New Roman"/>
                      <w:color w:val="auto"/>
                      <w:sz w:val="21"/>
                      <w:szCs w:val="21"/>
                      <w:highlight w:val="none"/>
                      <w:lang w:val="en-US" w:eastAsia="zh-CN"/>
                    </w:rPr>
                    <w:t>2.5.29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pct"/>
                  <w:gridSpan w:val="2"/>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点号</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pct"/>
                  <w:gridSpan w:val="2"/>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层次</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pct"/>
                  <w:vMerge w:val="restar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现场记录</w:t>
                  </w:r>
                </w:p>
              </w:tc>
              <w:tc>
                <w:tcPr>
                  <w:tcW w:w="1964"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颜色</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eastAsia" w:hAnsi="Times New Roman" w:eastAsia="宋体" w:cs="Times New Roman"/>
                      <w:color w:val="auto"/>
                      <w:sz w:val="21"/>
                      <w:szCs w:val="21"/>
                      <w:highlight w:val="none"/>
                      <w:lang w:eastAsia="zh-CN"/>
                    </w:rPr>
                    <w:t>黄棕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c>
                <w:tcPr>
                  <w:tcW w:w="1964"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结构</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团粒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c>
                <w:tcPr>
                  <w:tcW w:w="1964"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质地</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hAnsi="Times New Roman" w:eastAsia="宋体" w:cs="Times New Roman"/>
                      <w:color w:val="auto"/>
                      <w:sz w:val="21"/>
                      <w:szCs w:val="21"/>
                      <w:highlight w:val="none"/>
                      <w:lang w:val="en-US" w:eastAsia="zh-CN"/>
                    </w:rPr>
                    <w:t>粉粘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c>
                <w:tcPr>
                  <w:tcW w:w="1964"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砂砾含量</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hAnsi="Times New Roman" w:eastAsia="宋体" w:cs="Times New Roman"/>
                      <w:color w:val="auto"/>
                      <w:sz w:val="21"/>
                      <w:szCs w:val="21"/>
                      <w:highlight w:val="none"/>
                      <w:lang w:val="en-US" w:eastAsia="zh-CN"/>
                    </w:rPr>
                    <w:t>100</w:t>
                  </w: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c>
                <w:tcPr>
                  <w:tcW w:w="1964"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其他异物</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pct"/>
                  <w:vMerge w:val="restar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实验室测定</w:t>
                  </w:r>
                </w:p>
              </w:tc>
              <w:tc>
                <w:tcPr>
                  <w:tcW w:w="1964"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 无量纲</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r>
                    <w:rPr>
                      <w:rFonts w:hint="eastAsia" w:hAnsi="Times New Roman" w:eastAsia="宋体" w:cs="Times New Roman"/>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c>
                <w:tcPr>
                  <w:tcW w:w="1964"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阳离子交换量cmol/kg</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hAnsi="Times New Roman" w:eastAsia="宋体" w:cs="Times New Roman"/>
                      <w:color w:val="auto"/>
                      <w:sz w:val="21"/>
                      <w:szCs w:val="21"/>
                      <w:highlight w:val="no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c>
                <w:tcPr>
                  <w:tcW w:w="1964"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氧化还原电位mV</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hAnsi="Times New Roman" w:eastAsia="宋体" w:cs="Times New Roman"/>
                      <w:color w:val="auto"/>
                      <w:sz w:val="21"/>
                      <w:szCs w:val="21"/>
                      <w:highlight w:val="none"/>
                      <w:lang w:val="en-US" w:eastAsia="zh-CN"/>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c>
                <w:tcPr>
                  <w:tcW w:w="1964"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饱和导水率（</w:t>
                  </w:r>
                  <w:r>
                    <w:rPr>
                      <w:rFonts w:hint="eastAsia" w:ascii="Times New Roman" w:hAnsi="Times New Roman" w:eastAsia="宋体" w:cs="Times New Roman"/>
                      <w:color w:val="auto"/>
                      <w:sz w:val="21"/>
                      <w:szCs w:val="21"/>
                      <w:highlight w:val="none"/>
                      <w:lang w:val="en-US" w:eastAsia="zh-CN"/>
                    </w:rPr>
                    <w:t>cm/s</w:t>
                  </w:r>
                  <w:r>
                    <w:rPr>
                      <w:rFonts w:hint="eastAsia" w:ascii="Times New Roman" w:hAnsi="Times New Roman" w:eastAsia="宋体" w:cs="Times New Roman"/>
                      <w:color w:val="auto"/>
                      <w:sz w:val="21"/>
                      <w:szCs w:val="21"/>
                      <w:highlight w:val="none"/>
                      <w:lang w:eastAsia="zh-CN"/>
                    </w:rPr>
                    <w:t>）</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hAnsi="Times New Roman" w:eastAsia="宋体" w:cs="Times New Roman"/>
                      <w:color w:val="auto"/>
                      <w:sz w:val="21"/>
                      <w:szCs w:val="21"/>
                      <w:highlight w:val="none"/>
                      <w:lang w:val="en-US" w:eastAsia="zh-CN"/>
                    </w:rPr>
                    <w:t>3.71</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w:t>
                  </w:r>
                  <w:r>
                    <w:rPr>
                      <w:rFonts w:hint="eastAsia" w:hAnsi="Times New Roman" w:eastAsia="宋体" w:cs="Times New Roman"/>
                      <w:color w:val="auto"/>
                      <w:sz w:val="21"/>
                      <w:szCs w:val="21"/>
                      <w:highlight w:val="non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c>
                <w:tcPr>
                  <w:tcW w:w="1964"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土壤容重g/cm³</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hAnsi="Times New Roman" w:eastAsia="宋体" w:cs="Times New Roman"/>
                      <w:color w:val="auto"/>
                      <w:sz w:val="21"/>
                      <w:szCs w:val="21"/>
                      <w:highlight w:val="none"/>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c>
                <w:tcPr>
                  <w:tcW w:w="1964"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孔隙度（</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w:t>
                  </w:r>
                </w:p>
              </w:tc>
              <w:tc>
                <w:tcPr>
                  <w:tcW w:w="2249" w:type="pct"/>
                  <w:tcBorders>
                    <w:tl2br w:val="nil"/>
                    <w:tr2bl w:val="nil"/>
                  </w:tcBorders>
                  <w:noWrap w:val="0"/>
                  <w:vAlign w:val="center"/>
                </w:tcPr>
                <w:p>
                  <w:pPr>
                    <w:pStyle w:val="42"/>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hAnsi="Times New Roman" w:eastAsia="宋体" w:cs="Times New Roman"/>
                      <w:color w:val="auto"/>
                      <w:sz w:val="21"/>
                      <w:szCs w:val="21"/>
                      <w:highlight w:val="none"/>
                      <w:lang w:val="en-US" w:eastAsia="zh-CN"/>
                    </w:rPr>
                    <w:t>50.9</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color w:val="auto"/>
                <w:sz w:val="24"/>
                <w:szCs w:val="24"/>
                <w:highlight w:val="none"/>
                <w:lang w:eastAsia="zh-CN"/>
              </w:rPr>
            </w:pPr>
            <w:r>
              <w:rPr>
                <w:rFonts w:hint="eastAsia"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lang w:eastAsia="zh-CN"/>
              </w:rPr>
              <w:t>生态环境质量现状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auto"/>
                <w:kern w:val="0"/>
                <w:szCs w:val="21"/>
                <w:highlight w:val="none"/>
              </w:rPr>
            </w:pP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利用现有</w:t>
            </w:r>
            <w:r>
              <w:rPr>
                <w:rFonts w:hint="eastAsia"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lang w:val="en-US" w:eastAsia="zh-CN"/>
              </w:rPr>
              <w:t>用地建设，</w:t>
            </w:r>
            <w:r>
              <w:rPr>
                <w:rFonts w:hint="default" w:ascii="Times New Roman" w:hAnsi="Times New Roman" w:eastAsia="宋体" w:cs="Times New Roman"/>
                <w:color w:val="auto"/>
                <w:sz w:val="24"/>
                <w:szCs w:val="24"/>
                <w:highlight w:val="none"/>
                <w:lang w:eastAsia="zh-CN"/>
              </w:rPr>
              <w:t>不新增</w:t>
            </w:r>
            <w:r>
              <w:rPr>
                <w:rFonts w:hint="default" w:ascii="Times New Roman" w:hAnsi="Times New Roman" w:eastAsia="宋体"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lang w:eastAsia="zh-CN"/>
              </w:rPr>
              <w:t>用地，生态环境</w:t>
            </w:r>
            <w:r>
              <w:rPr>
                <w:rFonts w:hint="eastAsia" w:ascii="Times New Roman" w:hAnsi="Times New Roman" w:eastAsia="宋体" w:cs="Times New Roman"/>
                <w:color w:val="auto"/>
                <w:sz w:val="24"/>
                <w:szCs w:val="24"/>
                <w:highlight w:val="none"/>
                <w:lang w:val="en-US" w:eastAsia="zh-CN"/>
              </w:rPr>
              <w:t>质量现状一般</w:t>
            </w:r>
            <w:r>
              <w:rPr>
                <w:rFonts w:hint="default" w:ascii="Times New Roman" w:hAnsi="Times New Roman" w:eastAsia="宋体"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32" w:type="dxa"/>
            <w:noWrap w:val="0"/>
            <w:vAlign w:val="center"/>
          </w:tcPr>
          <w:p>
            <w:pPr>
              <w:adjustRightInd w:val="0"/>
              <w:snapToGrid w:val="0"/>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环境</w:t>
            </w:r>
          </w:p>
          <w:p>
            <w:pPr>
              <w:adjustRightInd w:val="0"/>
              <w:snapToGrid w:val="0"/>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保护</w:t>
            </w:r>
          </w:p>
          <w:p>
            <w:pPr>
              <w:adjustRightInd w:val="0"/>
              <w:snapToGrid w:val="0"/>
              <w:jc w:val="center"/>
              <w:rPr>
                <w:rFonts w:hint="eastAsia" w:ascii="宋体" w:hAnsi="宋体" w:cs="宋体"/>
                <w:color w:val="auto"/>
                <w:kern w:val="0"/>
                <w:szCs w:val="21"/>
                <w:highlight w:val="none"/>
              </w:rPr>
            </w:pPr>
            <w:r>
              <w:rPr>
                <w:rFonts w:hint="eastAsia" w:ascii="宋体" w:hAnsi="宋体" w:cs="宋体"/>
                <w:b/>
                <w:bCs/>
                <w:color w:val="auto"/>
                <w:kern w:val="0"/>
                <w:sz w:val="24"/>
                <w:szCs w:val="24"/>
                <w:highlight w:val="none"/>
              </w:rPr>
              <w:t>目标</w:t>
            </w:r>
          </w:p>
        </w:tc>
        <w:tc>
          <w:tcPr>
            <w:tcW w:w="8857" w:type="dxa"/>
            <w:noWrap w:val="0"/>
            <w:vAlign w:val="center"/>
          </w:tcPr>
          <w:p>
            <w:pPr>
              <w:adjustRightInd w:val="0"/>
              <w:snapToGrid w:val="0"/>
              <w:spacing w:line="360" w:lineRule="auto"/>
              <w:ind w:firstLine="470" w:firstLineChars="196"/>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根据现场调查，</w:t>
            </w:r>
            <w:r>
              <w:rPr>
                <w:rFonts w:hint="eastAsia" w:cs="Times New Roman"/>
                <w:color w:val="auto"/>
                <w:sz w:val="24"/>
                <w:highlight w:val="none"/>
                <w:lang w:eastAsia="zh-CN"/>
              </w:rPr>
              <w:t>本项目环境保护目标情况如下：</w:t>
            </w:r>
          </w:p>
          <w:p>
            <w:pPr>
              <w:adjustRightInd w:val="0"/>
              <w:snapToGrid w:val="0"/>
              <w:spacing w:line="360" w:lineRule="auto"/>
              <w:ind w:firstLine="470" w:firstLineChars="196"/>
              <w:rPr>
                <w:rFonts w:hint="default" w:eastAsia="宋体" w:cs="Times New Roman"/>
                <w:color w:val="auto"/>
                <w:sz w:val="24"/>
                <w:highlight w:val="none"/>
                <w:lang w:val="en-US" w:eastAsia="zh-CN"/>
              </w:rPr>
            </w:pPr>
            <w:r>
              <w:rPr>
                <w:rFonts w:hint="eastAsia" w:cs="Times New Roman"/>
                <w:color w:val="auto"/>
                <w:sz w:val="24"/>
                <w:highlight w:val="none"/>
                <w:lang w:eastAsia="zh-CN"/>
              </w:rPr>
              <w:t>环境空气：</w:t>
            </w:r>
            <w:r>
              <w:rPr>
                <w:rFonts w:hint="default" w:ascii="Times New Roman" w:hAnsi="Times New Roman" w:cs="Times New Roman"/>
                <w:color w:val="auto"/>
                <w:sz w:val="24"/>
                <w:highlight w:val="none"/>
              </w:rPr>
              <w:t>本项目周围</w:t>
            </w:r>
            <w:r>
              <w:rPr>
                <w:rFonts w:hint="eastAsia" w:cs="Times New Roman"/>
                <w:color w:val="auto"/>
                <w:sz w:val="24"/>
                <w:highlight w:val="none"/>
                <w:lang w:val="en-US" w:eastAsia="zh-CN"/>
              </w:rPr>
              <w:t>500m范围内不涉及</w:t>
            </w:r>
            <w:r>
              <w:rPr>
                <w:rFonts w:hint="default" w:ascii="Times New Roman" w:hAnsi="Times New Roman" w:cs="Times New Roman"/>
                <w:color w:val="auto"/>
                <w:sz w:val="24"/>
                <w:highlight w:val="none"/>
              </w:rPr>
              <w:t>自然保护区、风景名胜区、文物古迹</w:t>
            </w:r>
            <w:r>
              <w:rPr>
                <w:rFonts w:hint="eastAsia" w:cs="Times New Roman"/>
                <w:color w:val="auto"/>
                <w:sz w:val="24"/>
                <w:highlight w:val="none"/>
                <w:lang w:eastAsia="zh-CN"/>
              </w:rPr>
              <w:t>等敏感保护区，保护目标</w:t>
            </w:r>
            <w:r>
              <w:rPr>
                <w:rFonts w:hint="eastAsia" w:cs="Times New Roman"/>
                <w:color w:val="auto"/>
                <w:sz w:val="24"/>
                <w:highlight w:val="none"/>
                <w:lang w:val="en-US" w:eastAsia="zh-CN"/>
              </w:rPr>
              <w:t>主要为固庄村。</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70" w:firstLineChars="196"/>
              <w:jc w:val="both"/>
              <w:textAlignment w:val="auto"/>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声环境：</w:t>
            </w:r>
            <w:r>
              <w:rPr>
                <w:rFonts w:hint="default" w:ascii="Times New Roman" w:hAnsi="Times New Roman" w:cs="Times New Roman"/>
                <w:color w:val="auto"/>
                <w:sz w:val="24"/>
                <w:highlight w:val="none"/>
              </w:rPr>
              <w:t>本项目厂界周围</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0m范围内无声环境保护目标</w:t>
            </w:r>
            <w:r>
              <w:rPr>
                <w:rFonts w:hint="eastAsia" w:cs="Times New Roman"/>
                <w:color w:val="auto"/>
                <w:sz w:val="24"/>
                <w:highlight w:val="none"/>
                <w:lang w:eastAsia="zh-CN"/>
              </w:rPr>
              <w:t>。</w:t>
            </w:r>
          </w:p>
          <w:p>
            <w:pPr>
              <w:adjustRightInd w:val="0"/>
              <w:snapToGrid w:val="0"/>
              <w:spacing w:line="360" w:lineRule="auto"/>
              <w:ind w:firstLine="470" w:firstLineChars="196"/>
              <w:rPr>
                <w:rFonts w:hint="default" w:cs="Times New Roman"/>
                <w:color w:val="auto"/>
                <w:sz w:val="24"/>
                <w:highlight w:val="none"/>
                <w:lang w:val="en-US" w:eastAsia="zh-CN"/>
              </w:rPr>
            </w:pPr>
            <w:r>
              <w:rPr>
                <w:rFonts w:hint="eastAsia" w:cs="Times New Roman"/>
                <w:color w:val="auto"/>
                <w:sz w:val="24"/>
                <w:highlight w:val="none"/>
                <w:lang w:eastAsia="zh-CN"/>
              </w:rPr>
              <w:t>地下水环境：</w:t>
            </w:r>
            <w:r>
              <w:rPr>
                <w:rFonts w:hint="default" w:ascii="Times New Roman" w:hAnsi="Times New Roman" w:cs="Times New Roman"/>
                <w:color w:val="auto"/>
                <w:sz w:val="24"/>
                <w:highlight w:val="none"/>
              </w:rPr>
              <w:t>本项目周围</w:t>
            </w:r>
            <w:r>
              <w:rPr>
                <w:rFonts w:hint="eastAsia" w:cs="Times New Roman"/>
                <w:color w:val="auto"/>
                <w:sz w:val="24"/>
                <w:highlight w:val="none"/>
                <w:lang w:val="en-US" w:eastAsia="zh-CN"/>
              </w:rPr>
              <w:t>500m范围内不涉及集中式饮用水水源和热水、矿泉水、温泉等特殊地下水资源。项目距离最近集中式水源地为大营镇集中饮用水源地，距离约6.4km。繁峙县集中水源地示意图见附图10。</w:t>
            </w:r>
          </w:p>
          <w:p>
            <w:pPr>
              <w:pStyle w:val="22"/>
              <w:rPr>
                <w:rFonts w:hint="default"/>
                <w:color w:val="auto"/>
                <w:highlight w:val="none"/>
                <w:lang w:val="en-US" w:eastAsia="zh-CN"/>
              </w:rPr>
            </w:pPr>
          </w:p>
          <w:p>
            <w:pPr>
              <w:adjustRightInd w:val="0"/>
              <w:snapToGrid w:val="0"/>
              <w:spacing w:line="360" w:lineRule="auto"/>
              <w:ind w:firstLine="470" w:firstLineChars="196"/>
              <w:rPr>
                <w:rFonts w:hint="eastAsia" w:cs="Times New Roman"/>
                <w:color w:val="auto"/>
                <w:sz w:val="24"/>
                <w:highlight w:val="none"/>
                <w:lang w:val="en-US" w:eastAsia="zh-CN"/>
              </w:rPr>
            </w:pPr>
            <w:r>
              <w:rPr>
                <w:rFonts w:hint="eastAsia" w:cs="Times New Roman"/>
                <w:color w:val="auto"/>
                <w:sz w:val="24"/>
                <w:highlight w:val="none"/>
                <w:lang w:eastAsia="zh-CN"/>
              </w:rPr>
              <w:t>土壤环境：本项目周边</w:t>
            </w:r>
            <w:r>
              <w:rPr>
                <w:rFonts w:hint="eastAsia" w:cs="Times New Roman"/>
                <w:color w:val="auto"/>
                <w:sz w:val="24"/>
                <w:highlight w:val="none"/>
                <w:lang w:val="en-US" w:eastAsia="zh-CN"/>
              </w:rPr>
              <w:t>50m范围内土壤保护目标主要为西侧耕地。</w:t>
            </w:r>
          </w:p>
          <w:p>
            <w:pPr>
              <w:adjustRightInd w:val="0"/>
              <w:snapToGrid w:val="0"/>
              <w:spacing w:line="360" w:lineRule="auto"/>
              <w:ind w:firstLine="470" w:firstLineChars="196"/>
              <w:rPr>
                <w:rFonts w:hint="eastAsia" w:cs="Times New Roman"/>
                <w:color w:val="auto"/>
                <w:sz w:val="24"/>
                <w:highlight w:val="none"/>
                <w:lang w:eastAsia="zh-CN"/>
              </w:rPr>
            </w:pPr>
            <w:r>
              <w:rPr>
                <w:rFonts w:hint="eastAsia" w:cs="Times New Roman"/>
                <w:color w:val="auto"/>
                <w:sz w:val="24"/>
                <w:highlight w:val="none"/>
                <w:lang w:eastAsia="zh-CN"/>
              </w:rPr>
              <w:t>生态环境：本项目周边无生态保护目标。</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主要保护目标见表3-</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，环境保护目标见附图</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w:t>
            </w:r>
          </w:p>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color w:val="auto"/>
                <w:szCs w:val="21"/>
                <w:highlight w:val="none"/>
              </w:rPr>
              <w:t>表3-</w:t>
            </w:r>
            <w:r>
              <w:rPr>
                <w:rFonts w:hint="eastAsia" w:cs="Times New Roman"/>
                <w:b/>
                <w:color w:val="auto"/>
                <w:szCs w:val="21"/>
                <w:highlight w:val="none"/>
                <w:lang w:val="en-US" w:eastAsia="zh-CN"/>
              </w:rPr>
              <w:t>6</w:t>
            </w:r>
            <w:r>
              <w:rPr>
                <w:rFonts w:hint="default" w:ascii="Times New Roman" w:hAnsi="Times New Roman" w:cs="Times New Roman"/>
                <w:b/>
                <w:color w:val="auto"/>
                <w:szCs w:val="21"/>
                <w:highlight w:val="none"/>
              </w:rPr>
              <w:t xml:space="preserve"> </w:t>
            </w:r>
            <w:r>
              <w:rPr>
                <w:rFonts w:hint="default" w:ascii="Times New Roman" w:hAnsi="Times New Roman" w:cs="Times New Roman"/>
                <w:b/>
                <w:bCs/>
                <w:color w:val="auto"/>
                <w:szCs w:val="21"/>
                <w:highlight w:val="none"/>
              </w:rPr>
              <w:t>主要环境保护目标</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638"/>
              <w:gridCol w:w="956"/>
              <w:gridCol w:w="1221"/>
              <w:gridCol w:w="1147"/>
              <w:gridCol w:w="757"/>
              <w:gridCol w:w="628"/>
              <w:gridCol w:w="789"/>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Merge w:val="restar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371" w:type="pct"/>
                  <w:vMerge w:val="restar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敏感</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因素</w:t>
                  </w:r>
                </w:p>
              </w:tc>
              <w:tc>
                <w:tcPr>
                  <w:tcW w:w="556" w:type="pct"/>
                  <w:vMerge w:val="restar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保护目标</w:t>
                  </w:r>
                </w:p>
              </w:tc>
              <w:tc>
                <w:tcPr>
                  <w:tcW w:w="1377" w:type="pct"/>
                  <w:gridSpan w:val="2"/>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中心</w:t>
                  </w:r>
                  <w:r>
                    <w:rPr>
                      <w:rFonts w:hint="default" w:ascii="Times New Roman" w:hAnsi="Times New Roman" w:cs="Times New Roman"/>
                      <w:color w:val="auto"/>
                      <w:szCs w:val="21"/>
                      <w:highlight w:val="none"/>
                    </w:rPr>
                    <w:t>坐标</w:t>
                  </w:r>
                </w:p>
              </w:tc>
              <w:tc>
                <w:tcPr>
                  <w:tcW w:w="440" w:type="pct"/>
                  <w:vMerge w:val="restar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保护内容</w:t>
                  </w:r>
                </w:p>
              </w:tc>
              <w:tc>
                <w:tcPr>
                  <w:tcW w:w="365" w:type="pct"/>
                  <w:vMerge w:val="restar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方位</w:t>
                  </w:r>
                </w:p>
              </w:tc>
              <w:tc>
                <w:tcPr>
                  <w:tcW w:w="458" w:type="pct"/>
                  <w:vMerge w:val="restar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距离</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1173" w:type="pct"/>
                  <w:vMerge w:val="restar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Merge w:val="continue"/>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p>
              </w:tc>
              <w:tc>
                <w:tcPr>
                  <w:tcW w:w="371" w:type="pct"/>
                  <w:vMerge w:val="continue"/>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p>
              </w:tc>
              <w:tc>
                <w:tcPr>
                  <w:tcW w:w="556" w:type="pct"/>
                  <w:vMerge w:val="continue"/>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p>
              </w:tc>
              <w:tc>
                <w:tcPr>
                  <w:tcW w:w="710" w:type="pct"/>
                  <w:tcBorders>
                    <w:tl2br w:val="nil"/>
                    <w:tr2bl w:val="nil"/>
                  </w:tcBorders>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经度</w:t>
                  </w:r>
                </w:p>
              </w:tc>
              <w:tc>
                <w:tcPr>
                  <w:tcW w:w="667" w:type="pct"/>
                  <w:tcBorders>
                    <w:tl2br w:val="nil"/>
                    <w:tr2bl w:val="nil"/>
                  </w:tcBorders>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纬度</w:t>
                  </w:r>
                </w:p>
              </w:tc>
              <w:tc>
                <w:tcPr>
                  <w:tcW w:w="440" w:type="pct"/>
                  <w:vMerge w:val="continue"/>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p>
              </w:tc>
              <w:tc>
                <w:tcPr>
                  <w:tcW w:w="365" w:type="pct"/>
                  <w:vMerge w:val="continue"/>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p>
              </w:tc>
              <w:tc>
                <w:tcPr>
                  <w:tcW w:w="458" w:type="pct"/>
                  <w:vMerge w:val="continue"/>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p>
              </w:tc>
              <w:tc>
                <w:tcPr>
                  <w:tcW w:w="1173" w:type="pct"/>
                  <w:vMerge w:val="continue"/>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71" w:type="pc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空气</w:t>
                  </w:r>
                </w:p>
              </w:tc>
              <w:tc>
                <w:tcPr>
                  <w:tcW w:w="556" w:type="pc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固庄</w:t>
                  </w:r>
                  <w:r>
                    <w:rPr>
                      <w:rFonts w:hint="default" w:ascii="Times New Roman" w:hAnsi="Times New Roman" w:cs="Times New Roman"/>
                      <w:color w:val="auto"/>
                      <w:szCs w:val="21"/>
                      <w:highlight w:val="none"/>
                    </w:rPr>
                    <w:t>村</w:t>
                  </w:r>
                </w:p>
              </w:tc>
              <w:tc>
                <w:tcPr>
                  <w:tcW w:w="710" w:type="pct"/>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E113.599148</w:t>
                  </w:r>
                </w:p>
              </w:tc>
              <w:tc>
                <w:tcPr>
                  <w:tcW w:w="667" w:type="pct"/>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N39.259965</w:t>
                  </w:r>
                </w:p>
              </w:tc>
              <w:tc>
                <w:tcPr>
                  <w:tcW w:w="440" w:type="pct"/>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5人</w:t>
                  </w:r>
                </w:p>
              </w:tc>
              <w:tc>
                <w:tcPr>
                  <w:tcW w:w="365" w:type="pct"/>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E</w:t>
                  </w:r>
                </w:p>
              </w:tc>
              <w:tc>
                <w:tcPr>
                  <w:tcW w:w="458" w:type="pct"/>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440</w:t>
                  </w:r>
                </w:p>
              </w:tc>
              <w:tc>
                <w:tcPr>
                  <w:tcW w:w="1173" w:type="pc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《环境空气质量标准》（GB3095-2012）</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Merge w:val="restart"/>
                  <w:tcBorders>
                    <w:tl2br w:val="nil"/>
                    <w:tr2bl w:val="nil"/>
                  </w:tcBorders>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c>
                <w:tcPr>
                  <w:tcW w:w="371" w:type="pct"/>
                  <w:vMerge w:val="restart"/>
                  <w:tcBorders>
                    <w:tl2br w:val="nil"/>
                    <w:tr2bl w:val="nil"/>
                  </w:tcBorders>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声环境</w:t>
                  </w:r>
                </w:p>
              </w:tc>
              <w:tc>
                <w:tcPr>
                  <w:tcW w:w="3197" w:type="pct"/>
                  <w:gridSpan w:val="6"/>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厂界周边50m范围内无环境保护目标</w:t>
                  </w:r>
                </w:p>
              </w:tc>
              <w:tc>
                <w:tcPr>
                  <w:tcW w:w="1173" w:type="pc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声环境质量标准》（GB3096-2008）</w:t>
                  </w: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Merge w:val="continue"/>
                  <w:tcBorders>
                    <w:tl2br w:val="nil"/>
                    <w:tr2bl w:val="nil"/>
                  </w:tcBorders>
                  <w:noWrap w:val="0"/>
                  <w:tcMar>
                    <w:top w:w="0" w:type="dxa"/>
                    <w:left w:w="51" w:type="dxa"/>
                    <w:bottom w:w="0" w:type="dxa"/>
                    <w:right w:w="51" w:type="dxa"/>
                  </w:tcMar>
                  <w:vAlign w:val="center"/>
                </w:tcPr>
                <w:p>
                  <w:pPr>
                    <w:adjustRightInd w:val="0"/>
                    <w:snapToGrid w:val="0"/>
                    <w:jc w:val="center"/>
                    <w:rPr>
                      <w:rFonts w:hint="eastAsia" w:cs="Times New Roman"/>
                      <w:color w:val="auto"/>
                      <w:szCs w:val="21"/>
                      <w:highlight w:val="none"/>
                      <w:lang w:val="en-US" w:eastAsia="zh-CN"/>
                    </w:rPr>
                  </w:pPr>
                </w:p>
              </w:tc>
              <w:tc>
                <w:tcPr>
                  <w:tcW w:w="371" w:type="pct"/>
                  <w:vMerge w:val="continue"/>
                  <w:tcBorders>
                    <w:tl2br w:val="nil"/>
                    <w:tr2bl w:val="nil"/>
                  </w:tcBorders>
                  <w:noWrap w:val="0"/>
                  <w:tcMar>
                    <w:top w:w="0" w:type="dxa"/>
                    <w:left w:w="51" w:type="dxa"/>
                    <w:bottom w:w="0" w:type="dxa"/>
                    <w:right w:w="51" w:type="dxa"/>
                  </w:tcMar>
                  <w:vAlign w:val="center"/>
                </w:tcPr>
                <w:p>
                  <w:pPr>
                    <w:adjustRightInd w:val="0"/>
                    <w:snapToGrid w:val="0"/>
                    <w:jc w:val="center"/>
                    <w:rPr>
                      <w:rFonts w:hint="eastAsia" w:cs="Times New Roman"/>
                      <w:color w:val="auto"/>
                      <w:szCs w:val="21"/>
                      <w:highlight w:val="none"/>
                      <w:lang w:eastAsia="zh-CN"/>
                    </w:rPr>
                  </w:pPr>
                </w:p>
              </w:tc>
              <w:tc>
                <w:tcPr>
                  <w:tcW w:w="3197" w:type="pct"/>
                  <w:gridSpan w:val="6"/>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沿线道路敏感点主要为大安岭村、西河口村、寨头村等</w:t>
                  </w:r>
                </w:p>
              </w:tc>
              <w:tc>
                <w:tcPr>
                  <w:tcW w:w="1173" w:type="pct"/>
                  <w:tcBorders>
                    <w:tl2br w:val="nil"/>
                    <w:tr2bl w:val="nil"/>
                  </w:tcBorders>
                  <w:noWrap w:val="0"/>
                  <w:tcMar>
                    <w:top w:w="0" w:type="dxa"/>
                    <w:left w:w="51" w:type="dxa"/>
                    <w:bottom w:w="0" w:type="dxa"/>
                    <w:right w:w="51" w:type="dxa"/>
                  </w:tcMar>
                  <w:vAlign w:val="center"/>
                </w:tcPr>
                <w:p>
                  <w:pPr>
                    <w:adjustRightInd w:val="0"/>
                    <w:snapToGrid w:val="0"/>
                    <w:jc w:val="center"/>
                    <w:rPr>
                      <w:rFonts w:hint="eastAsia" w:cs="Times New Roman"/>
                      <w:color w:val="auto"/>
                      <w:szCs w:val="21"/>
                      <w:highlight w:val="none"/>
                      <w:lang w:eastAsia="zh-CN"/>
                    </w:rPr>
                  </w:pP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声环境质量标准》（GB3096-2008）</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tcBorders>
                    <w:tl2br w:val="nil"/>
                    <w:tr2bl w:val="nil"/>
                  </w:tcBorders>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3</w:t>
                  </w:r>
                </w:p>
              </w:tc>
              <w:tc>
                <w:tcPr>
                  <w:tcW w:w="371" w:type="pct"/>
                  <w:tcBorders>
                    <w:tl2br w:val="nil"/>
                    <w:tr2bl w:val="nil"/>
                  </w:tcBorders>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地表水</w:t>
                  </w:r>
                </w:p>
              </w:tc>
              <w:tc>
                <w:tcPr>
                  <w:tcW w:w="556" w:type="pct"/>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eastAsia" w:cs="Times New Roman"/>
                      <w:color w:val="auto"/>
                      <w:sz w:val="21"/>
                      <w:szCs w:val="21"/>
                      <w:highlight w:val="none"/>
                      <w:lang w:val="en-US" w:eastAsia="zh-CN"/>
                    </w:rPr>
                    <w:t>涧头</w:t>
                  </w:r>
                  <w:r>
                    <w:rPr>
                      <w:rFonts w:hint="default" w:ascii="Times New Roman" w:hAnsi="Times New Roman" w:cs="Times New Roman"/>
                      <w:color w:val="auto"/>
                      <w:szCs w:val="21"/>
                      <w:highlight w:val="none"/>
                    </w:rPr>
                    <w:t>河</w:t>
                  </w:r>
                </w:p>
              </w:tc>
              <w:tc>
                <w:tcPr>
                  <w:tcW w:w="1377" w:type="pct"/>
                  <w:gridSpan w:val="2"/>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440" w:type="pct"/>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河流</w:t>
                  </w:r>
                </w:p>
              </w:tc>
              <w:tc>
                <w:tcPr>
                  <w:tcW w:w="365" w:type="pct"/>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S</w:t>
                  </w:r>
                </w:p>
              </w:tc>
              <w:tc>
                <w:tcPr>
                  <w:tcW w:w="458" w:type="pct"/>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70</w:t>
                  </w:r>
                  <w:r>
                    <w:rPr>
                      <w:rFonts w:hint="default" w:ascii="Times New Roman" w:hAnsi="Times New Roman" w:cs="Times New Roman"/>
                      <w:color w:val="auto"/>
                      <w:szCs w:val="21"/>
                      <w:highlight w:val="none"/>
                    </w:rPr>
                    <w:t>0</w:t>
                  </w:r>
                </w:p>
              </w:tc>
              <w:tc>
                <w:tcPr>
                  <w:tcW w:w="1173" w:type="pc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地表水环境质量标准》（GB3838-2002）中</w:t>
                  </w:r>
                  <w:r>
                    <w:rPr>
                      <w:rFonts w:hint="eastAsia" w:cs="Times New Roman"/>
                      <w:color w:val="auto"/>
                      <w:szCs w:val="21"/>
                      <w:highlight w:val="none"/>
                      <w:lang w:eastAsia="zh-CN"/>
                    </w:rPr>
                    <w:t>Ⅲ</w:t>
                  </w:r>
                  <w:r>
                    <w:rPr>
                      <w:rFonts w:hint="default" w:ascii="Times New Roman" w:hAnsi="Times New Roman" w:cs="Times New Roman"/>
                      <w:color w:val="auto"/>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57" w:type="pct"/>
                  <w:vMerge w:val="restart"/>
                  <w:tcBorders>
                    <w:tl2br w:val="nil"/>
                    <w:tr2bl w:val="nil"/>
                  </w:tcBorders>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4</w:t>
                  </w:r>
                </w:p>
              </w:tc>
              <w:tc>
                <w:tcPr>
                  <w:tcW w:w="371" w:type="pct"/>
                  <w:vMerge w:val="restart"/>
                  <w:tcBorders>
                    <w:tl2br w:val="nil"/>
                    <w:tr2bl w:val="nil"/>
                  </w:tcBorders>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地下水环境</w:t>
                  </w:r>
                </w:p>
              </w:tc>
              <w:tc>
                <w:tcPr>
                  <w:tcW w:w="3197" w:type="pct"/>
                  <w:gridSpan w:val="6"/>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厂界外500m范围内不涉及集中式饮用水源地等保护目标</w:t>
                  </w:r>
                </w:p>
              </w:tc>
              <w:tc>
                <w:tcPr>
                  <w:tcW w:w="1173" w:type="pct"/>
                  <w:vMerge w:val="restar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《地下水质量标准》（GB/T14848-2017）中Ⅲ类标准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57" w:type="pct"/>
                  <w:vMerge w:val="continue"/>
                  <w:tcBorders>
                    <w:tl2br w:val="nil"/>
                    <w:tr2bl w:val="nil"/>
                  </w:tcBorders>
                  <w:noWrap w:val="0"/>
                  <w:tcMar>
                    <w:top w:w="0" w:type="dxa"/>
                    <w:left w:w="51" w:type="dxa"/>
                    <w:bottom w:w="0" w:type="dxa"/>
                    <w:right w:w="51" w:type="dxa"/>
                  </w:tcMar>
                  <w:vAlign w:val="center"/>
                </w:tcPr>
                <w:p>
                  <w:pPr>
                    <w:adjustRightInd w:val="0"/>
                    <w:snapToGrid w:val="0"/>
                    <w:jc w:val="center"/>
                    <w:rPr>
                      <w:rFonts w:hint="eastAsia" w:cs="Times New Roman"/>
                      <w:color w:val="auto"/>
                      <w:szCs w:val="21"/>
                      <w:highlight w:val="none"/>
                      <w:lang w:val="en-US" w:eastAsia="zh-CN"/>
                    </w:rPr>
                  </w:pPr>
                </w:p>
              </w:tc>
              <w:tc>
                <w:tcPr>
                  <w:tcW w:w="371" w:type="pct"/>
                  <w:vMerge w:val="continue"/>
                  <w:tcBorders>
                    <w:tl2br w:val="nil"/>
                    <w:tr2bl w:val="nil"/>
                  </w:tcBorders>
                  <w:noWrap w:val="0"/>
                  <w:tcMar>
                    <w:top w:w="0" w:type="dxa"/>
                    <w:left w:w="51" w:type="dxa"/>
                    <w:bottom w:w="0" w:type="dxa"/>
                    <w:right w:w="51" w:type="dxa"/>
                  </w:tcMar>
                  <w:vAlign w:val="center"/>
                </w:tcPr>
                <w:p>
                  <w:pPr>
                    <w:adjustRightInd w:val="0"/>
                    <w:snapToGrid w:val="0"/>
                    <w:jc w:val="center"/>
                    <w:rPr>
                      <w:rFonts w:hint="eastAsia" w:cs="Times New Roman"/>
                      <w:color w:val="auto"/>
                      <w:szCs w:val="21"/>
                      <w:highlight w:val="none"/>
                      <w:lang w:eastAsia="zh-CN"/>
                    </w:rPr>
                  </w:pPr>
                </w:p>
              </w:tc>
              <w:tc>
                <w:tcPr>
                  <w:tcW w:w="3197" w:type="pct"/>
                  <w:gridSpan w:val="6"/>
                  <w:tcBorders>
                    <w:tl2br w:val="nil"/>
                    <w:tr2bl w:val="nil"/>
                  </w:tcBorders>
                  <w:noWrap w:val="0"/>
                  <w:tcMar>
                    <w:top w:w="0" w:type="dxa"/>
                    <w:left w:w="51" w:type="dxa"/>
                    <w:bottom w:w="0" w:type="dxa"/>
                    <w:right w:w="51" w:type="dxa"/>
                  </w:tcMar>
                  <w:vAlign w:val="center"/>
                </w:tcPr>
                <w:p>
                  <w:pPr>
                    <w:pStyle w:val="12"/>
                    <w:adjustRightInd w:val="0"/>
                    <w:spacing w:line="240" w:lineRule="auto"/>
                    <w:ind w:left="0" w:leftChars="0" w:right="0" w:righ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距离最近的水源地为大营镇集中饮用水源地，距离6.4km</w:t>
                  </w:r>
                </w:p>
              </w:tc>
              <w:tc>
                <w:tcPr>
                  <w:tcW w:w="1173" w:type="pct"/>
                  <w:vMerge w:val="continue"/>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tcBorders>
                    <w:tl2br w:val="nil"/>
                    <w:tr2bl w:val="nil"/>
                  </w:tcBorders>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5</w:t>
                  </w:r>
                </w:p>
              </w:tc>
              <w:tc>
                <w:tcPr>
                  <w:tcW w:w="371" w:type="pc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土壤环境</w:t>
                  </w:r>
                </w:p>
              </w:tc>
              <w:tc>
                <w:tcPr>
                  <w:tcW w:w="3197" w:type="pct"/>
                  <w:gridSpan w:val="6"/>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w:t>
                  </w:r>
                  <w:r>
                    <w:rPr>
                      <w:rFonts w:hint="eastAsia" w:cs="Times New Roman"/>
                      <w:color w:val="auto"/>
                      <w:szCs w:val="21"/>
                      <w:highlight w:val="none"/>
                      <w:lang w:eastAsia="zh-CN"/>
                    </w:rPr>
                    <w:t>界西侧</w:t>
                  </w:r>
                  <w:r>
                    <w:rPr>
                      <w:rFonts w:hint="default" w:ascii="Times New Roman" w:hAnsi="Times New Roman" w:cs="Times New Roman"/>
                      <w:color w:val="auto"/>
                      <w:szCs w:val="21"/>
                      <w:highlight w:val="none"/>
                    </w:rPr>
                    <w:t>50m范围耕地</w:t>
                  </w:r>
                </w:p>
              </w:tc>
              <w:tc>
                <w:tcPr>
                  <w:tcW w:w="1173" w:type="pc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《土壤环境质量 农用地土壤污染风险管控标准（试行）》（GB15618-2018）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tcBorders>
                    <w:tl2br w:val="nil"/>
                    <w:tr2bl w:val="nil"/>
                  </w:tcBorders>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6</w:t>
                  </w:r>
                </w:p>
              </w:tc>
              <w:tc>
                <w:tcPr>
                  <w:tcW w:w="371" w:type="pc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生态环境</w:t>
                  </w:r>
                </w:p>
              </w:tc>
              <w:tc>
                <w:tcPr>
                  <w:tcW w:w="3197" w:type="pct"/>
                  <w:gridSpan w:val="6"/>
                  <w:tcBorders>
                    <w:tl2br w:val="nil"/>
                    <w:tr2bl w:val="nil"/>
                  </w:tcBorders>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项目周边无生态保护目标</w:t>
                  </w:r>
                </w:p>
              </w:tc>
              <w:tc>
                <w:tcPr>
                  <w:tcW w:w="1173" w:type="pct"/>
                  <w:tcBorders>
                    <w:tl2br w:val="nil"/>
                    <w:tr2bl w:val="nil"/>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严格控制项目生态影响，减少水土流失</w:t>
                  </w:r>
                </w:p>
              </w:tc>
            </w:tr>
          </w:tbl>
          <w:p>
            <w:pPr>
              <w:adjustRightInd w:val="0"/>
              <w:snapToGrid w:val="0"/>
              <w:jc w:val="center"/>
              <w:rPr>
                <w:rFonts w:hint="eastAsia" w:ascii="宋体" w:hAnsi="宋体" w:eastAsia="宋体" w:cs="宋体"/>
                <w:color w:val="auto"/>
                <w:kern w:val="0"/>
                <w:szCs w:val="21"/>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adjustRightInd w:val="0"/>
              <w:snapToGrid w:val="0"/>
              <w:jc w:val="center"/>
              <w:rPr>
                <w:rFonts w:ascii="宋体" w:hAnsi="宋体" w:cs="宋体"/>
                <w:color w:val="auto"/>
                <w:kern w:val="0"/>
                <w:szCs w:val="21"/>
                <w:highlight w:val="none"/>
              </w:rPr>
            </w:pPr>
          </w:p>
          <w:p>
            <w:pPr>
              <w:adjustRightInd w:val="0"/>
              <w:snapToGrid w:val="0"/>
              <w:jc w:val="center"/>
              <w:rPr>
                <w:rFonts w:hint="eastAsia" w:ascii="宋体" w:hAnsi="宋体" w:eastAsia="宋体" w:cs="宋体"/>
                <w:color w:val="auto"/>
                <w:kern w:val="0"/>
                <w:szCs w:val="21"/>
                <w:highlight w:val="none"/>
                <w:lang w:eastAsia="zh-CN"/>
              </w:rPr>
            </w:pPr>
          </w:p>
          <w:p>
            <w:pPr>
              <w:pStyle w:val="22"/>
              <w:rPr>
                <w:rFonts w:hint="eastAsia"/>
                <w:color w:val="auto"/>
                <w:highlight w:val="none"/>
                <w:lang w:eastAsia="zh-CN"/>
              </w:rPr>
            </w:pPr>
          </w:p>
          <w:p>
            <w:pPr>
              <w:pStyle w:val="23"/>
              <w:rPr>
                <w:rFonts w:hint="eastAsia"/>
                <w:lang w:eastAsia="zh-CN"/>
              </w:rPr>
            </w:pPr>
          </w:p>
          <w:p>
            <w:pPr>
              <w:pStyle w:val="23"/>
              <w:rPr>
                <w:rFonts w:hint="eastAsia"/>
                <w:lang w:eastAsia="zh-CN"/>
              </w:rPr>
            </w:pPr>
          </w:p>
          <w:p>
            <w:pPr>
              <w:pStyle w:val="23"/>
              <w:rPr>
                <w:rFonts w:hint="eastAsia"/>
                <w:lang w:eastAsia="zh-CN"/>
              </w:rPr>
            </w:pPr>
          </w:p>
          <w:p>
            <w:pPr>
              <w:pStyle w:val="23"/>
              <w:rPr>
                <w:rFonts w:hint="eastAsia"/>
                <w:lang w:eastAsia="zh-CN"/>
              </w:rPr>
            </w:pPr>
          </w:p>
          <w:p>
            <w:pPr>
              <w:pStyle w:val="23"/>
              <w:rPr>
                <w:rFonts w:hint="eastAsia"/>
                <w:lang w:eastAsia="zh-CN"/>
              </w:rPr>
            </w:pPr>
          </w:p>
          <w:p>
            <w:pPr>
              <w:pStyle w:val="23"/>
              <w:rPr>
                <w:rFonts w:hint="eastAsia"/>
                <w:lang w:eastAsia="zh-CN"/>
              </w:rPr>
            </w:pPr>
          </w:p>
          <w:p>
            <w:pPr>
              <w:pStyle w:val="23"/>
              <w:rPr>
                <w:rFonts w:hint="eastAsia"/>
                <w:lang w:eastAsia="zh-CN"/>
              </w:rPr>
            </w:pPr>
          </w:p>
          <w:p>
            <w:pPr>
              <w:pStyle w:val="23"/>
              <w:rPr>
                <w:rFonts w:hint="eastAsia"/>
                <w:lang w:eastAsia="zh-CN"/>
              </w:rPr>
            </w:pPr>
          </w:p>
          <w:p>
            <w:pPr>
              <w:pStyle w:val="23"/>
              <w:rPr>
                <w:rFonts w:hint="eastAsia"/>
                <w:lang w:eastAsia="zh-CN"/>
              </w:rPr>
            </w:pPr>
          </w:p>
          <w:p>
            <w:pPr>
              <w:pStyle w:val="22"/>
              <w:ind w:left="0" w:leftChars="0" w:firstLine="0" w:firstLineChars="0"/>
              <w:rPr>
                <w:rFonts w:hint="eastAsia"/>
                <w:color w:val="auto"/>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32"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污染</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物排</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放控</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制标</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Cs w:val="21"/>
                <w:highlight w:val="none"/>
              </w:rPr>
            </w:pPr>
            <w:r>
              <w:rPr>
                <w:rFonts w:hint="eastAsia" w:ascii="宋体" w:hAnsi="宋体" w:cs="宋体"/>
                <w:b/>
                <w:bCs/>
                <w:color w:val="auto"/>
                <w:kern w:val="0"/>
                <w:sz w:val="24"/>
                <w:szCs w:val="24"/>
                <w:highlight w:val="none"/>
              </w:rPr>
              <w:t>准</w:t>
            </w:r>
          </w:p>
        </w:tc>
        <w:tc>
          <w:tcPr>
            <w:tcW w:w="8857" w:type="dxa"/>
            <w:noWrap w:val="0"/>
            <w:vAlign w:val="center"/>
          </w:tcPr>
          <w:p>
            <w:pPr>
              <w:adjustRightInd w:val="0"/>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1、大气污染物排放标准</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snapToGrid w:val="0"/>
                <w:color w:val="auto"/>
                <w:kern w:val="0"/>
                <w:sz w:val="24"/>
                <w:highlight w:val="none"/>
                <w:lang w:val="en-US" w:eastAsia="zh-CN"/>
              </w:rPr>
            </w:pPr>
            <w:r>
              <w:rPr>
                <w:rFonts w:hint="default" w:ascii="Times New Roman" w:hAnsi="Times New Roman" w:cs="Times New Roman"/>
                <w:snapToGrid w:val="0"/>
                <w:color w:val="auto"/>
                <w:kern w:val="0"/>
                <w:sz w:val="24"/>
                <w:highlight w:val="none"/>
                <w:lang w:val="en-US" w:eastAsia="zh-CN"/>
              </w:rPr>
              <w:t>本项目主要污染物粉尘执行</w:t>
            </w:r>
            <w:r>
              <w:rPr>
                <w:rFonts w:hint="default" w:ascii="Times New Roman" w:hAnsi="Times New Roman" w:cs="Times New Roman"/>
                <w:color w:val="auto"/>
                <w:sz w:val="24"/>
                <w:highlight w:val="none"/>
                <w:lang w:val="en-US" w:eastAsia="zh-CN"/>
              </w:rPr>
              <w:t>《大气污染物综合排放标准》（GB16297-1996）二级标准及无组织排放监控浓度，</w:t>
            </w:r>
            <w:r>
              <w:rPr>
                <w:rFonts w:hint="default" w:ascii="Times New Roman" w:hAnsi="Times New Roman" w:cs="Times New Roman"/>
                <w:snapToGrid w:val="0"/>
                <w:color w:val="auto"/>
                <w:kern w:val="0"/>
                <w:sz w:val="24"/>
                <w:highlight w:val="none"/>
                <w:lang w:val="en-US" w:eastAsia="zh-CN"/>
              </w:rPr>
              <w:t>标准值见表</w:t>
            </w:r>
            <w:r>
              <w:rPr>
                <w:rFonts w:hint="eastAsia" w:cs="Times New Roman"/>
                <w:snapToGrid w:val="0"/>
                <w:color w:val="auto"/>
                <w:kern w:val="0"/>
                <w:sz w:val="24"/>
                <w:highlight w:val="none"/>
                <w:lang w:val="en-US" w:eastAsia="zh-CN"/>
              </w:rPr>
              <w:t>3-7</w:t>
            </w:r>
            <w:r>
              <w:rPr>
                <w:rFonts w:hint="default" w:ascii="Times New Roman" w:hAnsi="Times New Roman" w:cs="Times New Roman"/>
                <w:snapToGrid w:val="0"/>
                <w:color w:val="auto"/>
                <w:kern w:val="0"/>
                <w:sz w:val="24"/>
                <w:highlight w:val="none"/>
                <w:lang w:val="en-US" w:eastAsia="zh-CN"/>
              </w:rPr>
              <w:t>。</w:t>
            </w:r>
          </w:p>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eastAsia" w:cs="Times New Roman"/>
                <w:b/>
                <w:bCs/>
                <w:color w:val="auto"/>
                <w:szCs w:val="21"/>
                <w:highlight w:val="none"/>
                <w:lang w:val="en-US" w:eastAsia="zh-CN"/>
              </w:rPr>
              <w:t>3-7</w:t>
            </w:r>
            <w:r>
              <w:rPr>
                <w:rFonts w:hint="default" w:ascii="Times New Roman" w:hAnsi="Times New Roman" w:cs="Times New Roman"/>
                <w:b/>
                <w:bCs/>
                <w:color w:val="auto"/>
                <w:szCs w:val="21"/>
                <w:highlight w:val="none"/>
              </w:rPr>
              <w:t>大气污染物排放标准</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5"/>
              <w:gridCol w:w="1630"/>
              <w:gridCol w:w="1271"/>
              <w:gridCol w:w="2011"/>
              <w:gridCol w:w="1571"/>
              <w:gridCol w:w="11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7" w:type="pct"/>
                  <w:vMerge w:val="restar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w:t>
                  </w:r>
                </w:p>
              </w:tc>
              <w:tc>
                <w:tcPr>
                  <w:tcW w:w="949" w:type="pct"/>
                  <w:vMerge w:val="restar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最高允许排放浓度（mg/m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c>
                <w:tcPr>
                  <w:tcW w:w="740" w:type="pct"/>
                  <w:vMerge w:val="restar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排气筒高度</w:t>
                  </w:r>
                </w:p>
                <w:p>
                  <w:pPr>
                    <w:tabs>
                      <w:tab w:val="center" w:pos="4153"/>
                      <w:tab w:val="right" w:pos="8306"/>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1171" w:type="pct"/>
                  <w:vMerge w:val="restart"/>
                  <w:noWrap w:val="0"/>
                  <w:vAlign w:val="center"/>
                </w:tcPr>
                <w:p>
                  <w:pPr>
                    <w:tabs>
                      <w:tab w:val="center" w:pos="4153"/>
                      <w:tab w:val="right" w:pos="8306"/>
                    </w:tabs>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最高允许排放速率（</w:t>
                  </w:r>
                  <w:r>
                    <w:rPr>
                      <w:rFonts w:hint="eastAsia" w:cs="Times New Roman"/>
                      <w:color w:val="auto"/>
                      <w:szCs w:val="21"/>
                      <w:highlight w:val="none"/>
                      <w:lang w:val="en-US" w:eastAsia="zh-CN"/>
                    </w:rPr>
                    <w:t>kg/h</w:t>
                  </w:r>
                  <w:r>
                    <w:rPr>
                      <w:rFonts w:hint="eastAsia" w:cs="Times New Roman"/>
                      <w:color w:val="auto"/>
                      <w:szCs w:val="21"/>
                      <w:highlight w:val="none"/>
                      <w:lang w:eastAsia="zh-CN"/>
                    </w:rPr>
                    <w:t>）</w:t>
                  </w:r>
                </w:p>
              </w:tc>
              <w:tc>
                <w:tcPr>
                  <w:tcW w:w="1611" w:type="pct"/>
                  <w:gridSpan w:val="2"/>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7" w:type="pct"/>
                  <w:vMerge w:val="continue"/>
                  <w:noWrap w:val="0"/>
                  <w:vAlign w:val="center"/>
                </w:tcPr>
                <w:p>
                  <w:pPr>
                    <w:widowControl/>
                    <w:adjustRightInd w:val="0"/>
                    <w:snapToGrid w:val="0"/>
                    <w:jc w:val="left"/>
                    <w:rPr>
                      <w:rFonts w:hint="default" w:ascii="Times New Roman" w:hAnsi="Times New Roman" w:cs="Times New Roman"/>
                      <w:color w:val="auto"/>
                      <w:szCs w:val="21"/>
                      <w:highlight w:val="none"/>
                    </w:rPr>
                  </w:pPr>
                </w:p>
              </w:tc>
              <w:tc>
                <w:tcPr>
                  <w:tcW w:w="949" w:type="pct"/>
                  <w:vMerge w:val="continue"/>
                  <w:noWrap w:val="0"/>
                  <w:vAlign w:val="center"/>
                </w:tcPr>
                <w:p>
                  <w:pPr>
                    <w:widowControl/>
                    <w:adjustRightInd w:val="0"/>
                    <w:snapToGrid w:val="0"/>
                    <w:jc w:val="left"/>
                    <w:rPr>
                      <w:rFonts w:hint="default" w:ascii="Times New Roman" w:hAnsi="Times New Roman" w:cs="Times New Roman"/>
                      <w:color w:val="auto"/>
                      <w:szCs w:val="21"/>
                      <w:highlight w:val="none"/>
                    </w:rPr>
                  </w:pPr>
                </w:p>
              </w:tc>
              <w:tc>
                <w:tcPr>
                  <w:tcW w:w="740" w:type="pct"/>
                  <w:vMerge w:val="continue"/>
                  <w:noWrap w:val="0"/>
                  <w:vAlign w:val="center"/>
                </w:tcPr>
                <w:p>
                  <w:pPr>
                    <w:widowControl/>
                    <w:adjustRightInd w:val="0"/>
                    <w:snapToGrid w:val="0"/>
                    <w:jc w:val="left"/>
                    <w:rPr>
                      <w:rFonts w:hint="default" w:ascii="Times New Roman" w:hAnsi="Times New Roman" w:cs="Times New Roman"/>
                      <w:color w:val="auto"/>
                      <w:szCs w:val="21"/>
                      <w:highlight w:val="none"/>
                    </w:rPr>
                  </w:pPr>
                </w:p>
              </w:tc>
              <w:tc>
                <w:tcPr>
                  <w:tcW w:w="1171" w:type="pct"/>
                  <w:vMerge w:val="continue"/>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highlight w:val="none"/>
                    </w:rPr>
                  </w:pPr>
                </w:p>
              </w:tc>
              <w:tc>
                <w:tcPr>
                  <w:tcW w:w="915"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监控点</w:t>
                  </w:r>
                </w:p>
              </w:tc>
              <w:tc>
                <w:tcPr>
                  <w:tcW w:w="695"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7"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949"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w:t>
                  </w:r>
                </w:p>
              </w:tc>
              <w:tc>
                <w:tcPr>
                  <w:tcW w:w="740"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1171" w:type="pct"/>
                  <w:noWrap w:val="0"/>
                  <w:vAlign w:val="center"/>
                </w:tcPr>
                <w:p>
                  <w:pPr>
                    <w:tabs>
                      <w:tab w:val="center" w:pos="4153"/>
                      <w:tab w:val="right" w:pos="8306"/>
                    </w:tabs>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3.5</w:t>
                  </w:r>
                </w:p>
              </w:tc>
              <w:tc>
                <w:tcPr>
                  <w:tcW w:w="915"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周界外浓度最高点</w:t>
                  </w:r>
                </w:p>
              </w:tc>
              <w:tc>
                <w:tcPr>
                  <w:tcW w:w="695"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 mg/m</w:t>
                  </w:r>
                  <w:r>
                    <w:rPr>
                      <w:rFonts w:hint="default" w:ascii="Times New Roman" w:hAnsi="Times New Roman" w:cs="Times New Roman"/>
                      <w:color w:val="auto"/>
                      <w:szCs w:val="21"/>
                      <w:highlight w:val="none"/>
                      <w:vertAlign w:val="superscript"/>
                    </w:rPr>
                    <w:t>3</w:t>
                  </w:r>
                </w:p>
              </w:tc>
            </w:tr>
          </w:tbl>
          <w:p>
            <w:pPr>
              <w:adjustRightInd w:val="0"/>
              <w:snapToGrid w:val="0"/>
              <w:spacing w:before="120" w:beforeLines="50"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2、废水</w:t>
            </w:r>
          </w:p>
          <w:p>
            <w:pPr>
              <w:pStyle w:val="43"/>
              <w:adjustRightInd w:val="0"/>
              <w:snapToGrid w:val="0"/>
              <w:spacing w:line="360" w:lineRule="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项目废水合理处置，不外排</w:t>
            </w:r>
            <w:r>
              <w:rPr>
                <w:rFonts w:hint="default" w:ascii="Times New Roman" w:hAnsi="Times New Roman" w:cs="Times New Roman"/>
                <w:color w:val="auto"/>
                <w:szCs w:val="32"/>
                <w:highlight w:val="none"/>
              </w:rPr>
              <w:t>。</w:t>
            </w:r>
          </w:p>
          <w:p>
            <w:pPr>
              <w:adjustRightInd w:val="0"/>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3、噪声</w:t>
            </w:r>
          </w:p>
          <w:p>
            <w:pPr>
              <w:pStyle w:val="2"/>
              <w:adjustRightInd w:val="0"/>
              <w:snapToGrid w:val="0"/>
              <w:spacing w:after="0" w:line="360" w:lineRule="auto"/>
              <w:ind w:left="0" w:leftChars="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 xml:space="preserve">施工期噪声执行《建筑施工场界环境噪声排放标准》（GB12523-2011），运营期厂界执行《工业企业厂界环境噪声排放标准》(GB12348-2008) </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类标准。标准值见表</w:t>
            </w:r>
            <w:r>
              <w:rPr>
                <w:rFonts w:hint="eastAsia" w:cs="Times New Roman"/>
                <w:color w:val="auto"/>
                <w:sz w:val="24"/>
                <w:highlight w:val="none"/>
                <w:lang w:val="en-US" w:eastAsia="zh-CN"/>
              </w:rPr>
              <w:t>3-8</w:t>
            </w:r>
            <w:r>
              <w:rPr>
                <w:rFonts w:hint="default" w:ascii="Times New Roman" w:hAnsi="Times New Roman" w:cs="Times New Roman"/>
                <w:color w:val="auto"/>
                <w:sz w:val="24"/>
                <w:highlight w:val="none"/>
                <w:lang w:val="en-US" w:eastAsia="zh-CN"/>
              </w:rPr>
              <w:t>。</w:t>
            </w:r>
          </w:p>
          <w:p>
            <w:pPr>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eastAsia" w:cs="Times New Roman"/>
                <w:b/>
                <w:color w:val="auto"/>
                <w:highlight w:val="none"/>
                <w:lang w:val="en-US" w:eastAsia="zh-CN"/>
              </w:rPr>
              <w:t>3-8</w:t>
            </w:r>
            <w:r>
              <w:rPr>
                <w:rFonts w:hint="default" w:ascii="Times New Roman" w:hAnsi="Times New Roman" w:cs="Times New Roman"/>
                <w:b/>
                <w:color w:val="auto"/>
                <w:highlight w:val="none"/>
              </w:rPr>
              <w:t xml:space="preserve">  噪声标准值执行情况一览表  单位：dB（A）</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84"/>
              <w:gridCol w:w="3867"/>
              <w:gridCol w:w="1343"/>
              <w:gridCol w:w="611"/>
              <w:gridCol w:w="766"/>
              <w:gridCol w:w="7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48" w:type="pct"/>
                  <w:noWrap w:val="0"/>
                  <w:vAlign w:val="center"/>
                </w:tcPr>
                <w:p>
                  <w:pPr>
                    <w:adjustRightInd w:val="0"/>
                    <w:snapToGrid w:val="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时段</w:t>
                  </w:r>
                </w:p>
              </w:tc>
              <w:tc>
                <w:tcPr>
                  <w:tcW w:w="2252" w:type="pct"/>
                  <w:noWrap w:val="0"/>
                  <w:vAlign w:val="center"/>
                </w:tcPr>
                <w:p>
                  <w:pPr>
                    <w:adjustRightInd w:val="0"/>
                    <w:snapToGrid w:val="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标准</w:t>
                  </w:r>
                </w:p>
              </w:tc>
              <w:tc>
                <w:tcPr>
                  <w:tcW w:w="1998" w:type="pct"/>
                  <w:gridSpan w:val="4"/>
                  <w:noWrap w:val="0"/>
                  <w:vAlign w:val="center"/>
                </w:tcPr>
                <w:p>
                  <w:pPr>
                    <w:adjustRightInd w:val="0"/>
                    <w:snapToGrid w:val="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48" w:type="pct"/>
                  <w:noWrap w:val="0"/>
                  <w:vAlign w:val="center"/>
                </w:tcPr>
                <w:p>
                  <w:pPr>
                    <w:adjustRightInd w:val="0"/>
                    <w:snapToGrid w:val="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施工期</w:t>
                  </w:r>
                </w:p>
              </w:tc>
              <w:tc>
                <w:tcPr>
                  <w:tcW w:w="2252" w:type="pct"/>
                  <w:noWrap w:val="0"/>
                  <w:vAlign w:val="center"/>
                </w:tcPr>
                <w:p>
                  <w:pPr>
                    <w:adjustRightInd w:val="0"/>
                    <w:snapToGrid w:val="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 xml:space="preserve">（GB12523-2011） </w:t>
                  </w:r>
                </w:p>
              </w:tc>
              <w:tc>
                <w:tcPr>
                  <w:tcW w:w="782" w:type="pct"/>
                  <w:noWrap w:val="0"/>
                  <w:vAlign w:val="center"/>
                </w:tcPr>
                <w:p>
                  <w:pPr>
                    <w:adjustRightInd w:val="0"/>
                    <w:snapToGrid w:val="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昼间</w:t>
                  </w:r>
                </w:p>
              </w:tc>
              <w:tc>
                <w:tcPr>
                  <w:tcW w:w="356" w:type="pct"/>
                  <w:noWrap w:val="0"/>
                  <w:vAlign w:val="center"/>
                </w:tcPr>
                <w:p>
                  <w:pPr>
                    <w:adjustRightInd w:val="0"/>
                    <w:snapToGrid w:val="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70</w:t>
                  </w:r>
                </w:p>
              </w:tc>
              <w:tc>
                <w:tcPr>
                  <w:tcW w:w="446" w:type="pct"/>
                  <w:noWrap w:val="0"/>
                  <w:vAlign w:val="center"/>
                </w:tcPr>
                <w:p>
                  <w:pPr>
                    <w:adjustRightInd w:val="0"/>
                    <w:snapToGrid w:val="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夜间</w:t>
                  </w:r>
                </w:p>
              </w:tc>
              <w:tc>
                <w:tcPr>
                  <w:tcW w:w="414" w:type="pct"/>
                  <w:noWrap w:val="0"/>
                  <w:vAlign w:val="center"/>
                </w:tcPr>
                <w:p>
                  <w:pPr>
                    <w:adjustRightInd w:val="0"/>
                    <w:snapToGrid w:val="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48" w:type="pct"/>
                  <w:noWrap w:val="0"/>
                  <w:vAlign w:val="center"/>
                </w:tcPr>
                <w:p>
                  <w:pPr>
                    <w:adjustRightInd w:val="0"/>
                    <w:snapToGrid w:val="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运行期</w:t>
                  </w:r>
                </w:p>
              </w:tc>
              <w:tc>
                <w:tcPr>
                  <w:tcW w:w="2252" w:type="pct"/>
                  <w:noWrap w:val="0"/>
                  <w:vAlign w:val="center"/>
                </w:tcPr>
                <w:p>
                  <w:pPr>
                    <w:adjustRightInd w:val="0"/>
                    <w:snapToGrid w:val="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（GB12348-2008）</w:t>
                  </w:r>
                  <w:r>
                    <w:rPr>
                      <w:rFonts w:hint="eastAsia" w:ascii="Times New Roman" w:hAnsi="Times New Roman" w:cs="Times New Roman"/>
                      <w:color w:val="auto"/>
                      <w:spacing w:val="4"/>
                      <w:szCs w:val="21"/>
                      <w:highlight w:val="none"/>
                      <w:lang w:val="en-US" w:eastAsia="zh-CN"/>
                    </w:rPr>
                    <w:t>2</w:t>
                  </w:r>
                  <w:r>
                    <w:rPr>
                      <w:rFonts w:hint="default" w:ascii="Times New Roman" w:hAnsi="Times New Roman" w:cs="Times New Roman"/>
                      <w:color w:val="auto"/>
                      <w:spacing w:val="4"/>
                      <w:szCs w:val="21"/>
                      <w:highlight w:val="none"/>
                    </w:rPr>
                    <w:t>类</w:t>
                  </w:r>
                </w:p>
              </w:tc>
              <w:tc>
                <w:tcPr>
                  <w:tcW w:w="782" w:type="pct"/>
                  <w:noWrap w:val="0"/>
                  <w:vAlign w:val="center"/>
                </w:tcPr>
                <w:p>
                  <w:pPr>
                    <w:adjustRightInd w:val="0"/>
                    <w:snapToGrid w:val="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昼间</w:t>
                  </w:r>
                </w:p>
              </w:tc>
              <w:tc>
                <w:tcPr>
                  <w:tcW w:w="356" w:type="pct"/>
                  <w:noWrap w:val="0"/>
                  <w:vAlign w:val="center"/>
                </w:tcPr>
                <w:p>
                  <w:pPr>
                    <w:adjustRightInd w:val="0"/>
                    <w:snapToGrid w:val="0"/>
                    <w:jc w:val="center"/>
                    <w:rPr>
                      <w:rFonts w:hint="default" w:ascii="Times New Roman" w:hAnsi="Times New Roman" w:eastAsia="宋体" w:cs="Times New Roman"/>
                      <w:color w:val="auto"/>
                      <w:spacing w:val="4"/>
                      <w:szCs w:val="21"/>
                      <w:highlight w:val="none"/>
                      <w:lang w:val="en-US" w:eastAsia="zh-CN"/>
                    </w:rPr>
                  </w:pPr>
                  <w:r>
                    <w:rPr>
                      <w:rFonts w:hint="eastAsia" w:ascii="Times New Roman" w:hAnsi="Times New Roman" w:cs="Times New Roman"/>
                      <w:color w:val="auto"/>
                      <w:spacing w:val="4"/>
                      <w:szCs w:val="21"/>
                      <w:highlight w:val="none"/>
                      <w:lang w:val="en-US" w:eastAsia="zh-CN"/>
                    </w:rPr>
                    <w:t>60</w:t>
                  </w:r>
                </w:p>
              </w:tc>
              <w:tc>
                <w:tcPr>
                  <w:tcW w:w="446" w:type="pct"/>
                  <w:noWrap w:val="0"/>
                  <w:vAlign w:val="center"/>
                </w:tcPr>
                <w:p>
                  <w:pPr>
                    <w:adjustRightInd w:val="0"/>
                    <w:snapToGrid w:val="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夜间</w:t>
                  </w:r>
                </w:p>
              </w:tc>
              <w:tc>
                <w:tcPr>
                  <w:tcW w:w="414" w:type="pct"/>
                  <w:noWrap w:val="0"/>
                  <w:vAlign w:val="center"/>
                </w:tcPr>
                <w:p>
                  <w:pPr>
                    <w:adjustRightInd w:val="0"/>
                    <w:snapToGrid w:val="0"/>
                    <w:jc w:val="center"/>
                    <w:rPr>
                      <w:rFonts w:hint="default" w:ascii="Times New Roman" w:hAnsi="Times New Roman" w:eastAsia="宋体" w:cs="Times New Roman"/>
                      <w:color w:val="auto"/>
                      <w:spacing w:val="4"/>
                      <w:szCs w:val="21"/>
                      <w:highlight w:val="none"/>
                      <w:lang w:val="en-US" w:eastAsia="zh-CN"/>
                    </w:rPr>
                  </w:pPr>
                  <w:r>
                    <w:rPr>
                      <w:rFonts w:hint="eastAsia" w:ascii="Times New Roman" w:hAnsi="Times New Roman" w:cs="Times New Roman"/>
                      <w:color w:val="auto"/>
                      <w:spacing w:val="4"/>
                      <w:szCs w:val="21"/>
                      <w:highlight w:val="none"/>
                      <w:lang w:val="en-US" w:eastAsia="zh-CN"/>
                    </w:rPr>
                    <w:t>50</w:t>
                  </w:r>
                </w:p>
              </w:tc>
            </w:tr>
          </w:tbl>
          <w:p>
            <w:pPr>
              <w:pStyle w:val="2"/>
              <w:adjustRightInd w:val="0"/>
              <w:snapToGrid w:val="0"/>
              <w:spacing w:before="120" w:beforeLines="50" w:after="0" w:line="360" w:lineRule="auto"/>
              <w:ind w:left="0" w:leftChars="0"/>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4、固体废弃物</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一般</w:t>
            </w:r>
            <w:r>
              <w:rPr>
                <w:rFonts w:hint="default" w:ascii="Times New Roman" w:hAnsi="Times New Roman" w:cs="Times New Roman"/>
                <w:color w:val="auto"/>
                <w:sz w:val="24"/>
                <w:highlight w:val="none"/>
              </w:rPr>
              <w:t>固体废物执行《一般工业固体废物贮存</w:t>
            </w:r>
            <w:r>
              <w:rPr>
                <w:rFonts w:hint="default" w:ascii="Times New Roman" w:hAnsi="Times New Roman" w:cs="Times New Roman"/>
                <w:color w:val="auto"/>
                <w:sz w:val="24"/>
                <w:highlight w:val="none"/>
                <w:lang w:val="en-US" w:eastAsia="zh-CN"/>
              </w:rPr>
              <w:t>和填埋</w:t>
            </w:r>
            <w:r>
              <w:rPr>
                <w:rFonts w:hint="default" w:ascii="Times New Roman" w:hAnsi="Times New Roman" w:cs="Times New Roman"/>
                <w:color w:val="auto"/>
                <w:sz w:val="24"/>
                <w:highlight w:val="none"/>
              </w:rPr>
              <w:t>污染控制标准》（GB18599－20</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）中的相关内容</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危险废物执行《危险废物贮存污染控制标准》（GB18597-2001）及2013年修改单有关要求。</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highlight w:val="none"/>
                <w:lang w:eastAsia="zh-CN"/>
              </w:rPr>
              <w:t>生活垃圾执行当地环卫管理部门要求</w:t>
            </w:r>
            <w:r>
              <w:rPr>
                <w:rFonts w:hint="default" w:ascii="Times New Roman" w:hAnsi="Times New Roman" w:cs="Times New Roman"/>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32" w:type="dxa"/>
            <w:noWrap w:val="0"/>
            <w:vAlign w:val="center"/>
          </w:tcPr>
          <w:p>
            <w:pPr>
              <w:adjustRightInd w:val="0"/>
              <w:snapToGrid w:val="0"/>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总量</w:t>
            </w:r>
          </w:p>
          <w:p>
            <w:pPr>
              <w:adjustRightInd w:val="0"/>
              <w:snapToGrid w:val="0"/>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控制</w:t>
            </w:r>
          </w:p>
          <w:p>
            <w:pPr>
              <w:adjustRightInd w:val="0"/>
              <w:snapToGrid w:val="0"/>
              <w:jc w:val="center"/>
              <w:rPr>
                <w:rFonts w:ascii="宋体" w:hAnsi="宋体" w:cs="宋体"/>
                <w:color w:val="auto"/>
                <w:kern w:val="0"/>
                <w:szCs w:val="21"/>
                <w:highlight w:val="none"/>
              </w:rPr>
            </w:pPr>
            <w:r>
              <w:rPr>
                <w:rFonts w:hint="eastAsia" w:ascii="宋体" w:hAnsi="宋体" w:cs="宋体"/>
                <w:b/>
                <w:bCs/>
                <w:color w:val="auto"/>
                <w:kern w:val="0"/>
                <w:sz w:val="24"/>
                <w:szCs w:val="24"/>
                <w:highlight w:val="none"/>
              </w:rPr>
              <w:t>指标</w:t>
            </w:r>
          </w:p>
        </w:tc>
        <w:tc>
          <w:tcPr>
            <w:tcW w:w="8857" w:type="dxa"/>
            <w:noWrap w:val="0"/>
            <w:vAlign w:val="top"/>
          </w:tcPr>
          <w:p>
            <w:pPr>
              <w:pStyle w:val="14"/>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highlight w:val="none"/>
                <w:lang w:eastAsia="zh-CN"/>
              </w:rPr>
            </w:pPr>
          </w:p>
          <w:p>
            <w:pPr>
              <w:pStyle w:val="14"/>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highlight w:val="none"/>
                <w:lang w:eastAsia="zh-CN"/>
              </w:rPr>
            </w:pPr>
          </w:p>
          <w:p>
            <w:pPr>
              <w:pStyle w:val="14"/>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lang w:eastAsia="zh-CN"/>
              </w:rPr>
              <w:t>根据工程分析可知，项目需申请总量控制指标分别为粉尘</w:t>
            </w:r>
            <w:r>
              <w:rPr>
                <w:rFonts w:hint="eastAsia" w:cs="Times New Roman"/>
                <w:color w:val="auto"/>
                <w:sz w:val="24"/>
                <w:highlight w:val="none"/>
                <w:lang w:val="en-US" w:eastAsia="zh-CN"/>
              </w:rPr>
              <w:t>0.48</w:t>
            </w:r>
            <w:r>
              <w:rPr>
                <w:rFonts w:hint="default" w:ascii="Times New Roman" w:hAnsi="Times New Roman" w:cs="Times New Roman"/>
                <w:color w:val="auto"/>
                <w:sz w:val="24"/>
                <w:highlight w:val="none"/>
                <w:lang w:eastAsia="zh-CN"/>
              </w:rPr>
              <w:t>t/a</w:t>
            </w:r>
            <w:r>
              <w:rPr>
                <w:rFonts w:hint="default"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忻州市生态环境局繁峙分局以编号2022-009对本项目总量进行了核定，核定指标为粉尘0.48t/a，满足总量控制指标要求。</w:t>
            </w:r>
          </w:p>
          <w:p>
            <w:pPr>
              <w:pStyle w:val="22"/>
              <w:rPr>
                <w:rFonts w:hint="default"/>
                <w:color w:val="auto"/>
                <w:highlight w:val="none"/>
                <w:lang w:val="en-US" w:eastAsia="zh-CN"/>
              </w:rPr>
            </w:pPr>
          </w:p>
        </w:tc>
      </w:tr>
    </w:tbl>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cs="Times New Roman"/>
          <w:snapToGrid w:val="0"/>
          <w:color w:val="auto"/>
          <w:sz w:val="32"/>
          <w:szCs w:val="32"/>
          <w:highlight w:val="none"/>
        </w:rPr>
        <w:t>四、主要环境影响和保护措施</w:t>
      </w:r>
    </w:p>
    <w:tbl>
      <w:tblPr>
        <w:tblStyle w:val="24"/>
        <w:tblW w:w="508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89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0" w:type="dxa"/>
            <w:noWrap w:val="0"/>
            <w:tcMar>
              <w:left w:w="28" w:type="dxa"/>
              <w:right w:w="28" w:type="dxa"/>
            </w:tcMar>
            <w:vAlign w:val="center"/>
          </w:tcPr>
          <w:p>
            <w:pPr>
              <w:pStyle w:val="20"/>
              <w:adjustRightInd w:val="0"/>
              <w:snapToGrid w:val="0"/>
              <w:spacing w:before="0" w:beforeAutospacing="0" w:after="0" w:afterAutospacing="0"/>
              <w:jc w:val="center"/>
              <w:rPr>
                <w:rFonts w:hint="eastAsia" w:cs="宋体"/>
                <w:b/>
                <w:bCs/>
                <w:color w:val="auto"/>
                <w:kern w:val="2"/>
                <w:sz w:val="28"/>
                <w:szCs w:val="28"/>
                <w:highlight w:val="none"/>
              </w:rPr>
            </w:pPr>
            <w:r>
              <w:rPr>
                <w:rFonts w:hint="eastAsia" w:cs="宋体"/>
                <w:b/>
                <w:bCs/>
                <w:color w:val="auto"/>
                <w:kern w:val="2"/>
                <w:sz w:val="28"/>
                <w:szCs w:val="28"/>
                <w:highlight w:val="none"/>
              </w:rPr>
              <w:t>施工</w:t>
            </w:r>
          </w:p>
          <w:p>
            <w:pPr>
              <w:pStyle w:val="20"/>
              <w:adjustRightInd w:val="0"/>
              <w:snapToGrid w:val="0"/>
              <w:spacing w:before="0" w:beforeAutospacing="0" w:after="0" w:afterAutospacing="0"/>
              <w:jc w:val="center"/>
              <w:rPr>
                <w:rFonts w:hint="eastAsia" w:cs="宋体"/>
                <w:b/>
                <w:bCs/>
                <w:color w:val="auto"/>
                <w:kern w:val="2"/>
                <w:sz w:val="28"/>
                <w:szCs w:val="28"/>
                <w:highlight w:val="none"/>
              </w:rPr>
            </w:pPr>
            <w:r>
              <w:rPr>
                <w:rFonts w:hint="eastAsia" w:cs="宋体"/>
                <w:b/>
                <w:bCs/>
                <w:color w:val="auto"/>
                <w:kern w:val="2"/>
                <w:sz w:val="28"/>
                <w:szCs w:val="28"/>
                <w:highlight w:val="none"/>
              </w:rPr>
              <w:t>期环</w:t>
            </w:r>
          </w:p>
          <w:p>
            <w:pPr>
              <w:pStyle w:val="20"/>
              <w:adjustRightInd w:val="0"/>
              <w:snapToGrid w:val="0"/>
              <w:spacing w:before="0" w:beforeAutospacing="0" w:after="0" w:afterAutospacing="0"/>
              <w:jc w:val="center"/>
              <w:rPr>
                <w:rFonts w:hint="eastAsia" w:cs="宋体"/>
                <w:b/>
                <w:bCs/>
                <w:color w:val="auto"/>
                <w:kern w:val="2"/>
                <w:sz w:val="28"/>
                <w:szCs w:val="28"/>
                <w:highlight w:val="none"/>
              </w:rPr>
            </w:pPr>
            <w:r>
              <w:rPr>
                <w:rFonts w:hint="eastAsia" w:cs="宋体"/>
                <w:b/>
                <w:bCs/>
                <w:color w:val="auto"/>
                <w:kern w:val="2"/>
                <w:sz w:val="28"/>
                <w:szCs w:val="28"/>
                <w:highlight w:val="none"/>
              </w:rPr>
              <w:t>境保</w:t>
            </w:r>
          </w:p>
          <w:p>
            <w:pPr>
              <w:pStyle w:val="20"/>
              <w:adjustRightInd w:val="0"/>
              <w:snapToGrid w:val="0"/>
              <w:spacing w:before="0" w:beforeAutospacing="0" w:after="0" w:afterAutospacing="0"/>
              <w:jc w:val="center"/>
              <w:rPr>
                <w:rFonts w:hint="eastAsia" w:cs="宋体"/>
                <w:b/>
                <w:bCs/>
                <w:color w:val="auto"/>
                <w:kern w:val="2"/>
                <w:sz w:val="28"/>
                <w:szCs w:val="28"/>
                <w:highlight w:val="none"/>
              </w:rPr>
            </w:pPr>
            <w:r>
              <w:rPr>
                <w:rFonts w:hint="eastAsia" w:cs="宋体"/>
                <w:b/>
                <w:bCs/>
                <w:color w:val="auto"/>
                <w:kern w:val="2"/>
                <w:sz w:val="28"/>
                <w:szCs w:val="28"/>
                <w:highlight w:val="none"/>
              </w:rPr>
              <w:t>护措</w:t>
            </w:r>
          </w:p>
          <w:p>
            <w:pPr>
              <w:pStyle w:val="20"/>
              <w:adjustRightInd w:val="0"/>
              <w:snapToGrid w:val="0"/>
              <w:spacing w:before="0" w:beforeAutospacing="0" w:after="0" w:afterAutospacing="0"/>
              <w:jc w:val="center"/>
              <w:rPr>
                <w:rFonts w:hint="eastAsia" w:cs="宋体"/>
                <w:bCs/>
                <w:color w:val="auto"/>
                <w:kern w:val="2"/>
                <w:sz w:val="21"/>
                <w:szCs w:val="21"/>
                <w:highlight w:val="none"/>
              </w:rPr>
            </w:pPr>
            <w:r>
              <w:rPr>
                <w:rFonts w:hint="eastAsia" w:cs="宋体"/>
                <w:b/>
                <w:bCs/>
                <w:color w:val="auto"/>
                <w:kern w:val="2"/>
                <w:sz w:val="28"/>
                <w:szCs w:val="28"/>
                <w:highlight w:val="none"/>
              </w:rPr>
              <w:t>施</w:t>
            </w:r>
          </w:p>
        </w:tc>
        <w:tc>
          <w:tcPr>
            <w:tcW w:w="8708" w:type="dxa"/>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工程施工影响范围主要位于场地范围内，施工活动的影响主要为施工扬尘、废水、固体废物、噪声排放及场地挖填对场址所属区域自然、生态环境及居民生活的影响。其中以施工扬尘和施工噪声对环境的影响比较显著。</w:t>
            </w:r>
          </w:p>
          <w:p>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1、大气环境</w:t>
            </w:r>
            <w:r>
              <w:rPr>
                <w:rFonts w:hint="eastAsia" w:cs="Times New Roman"/>
                <w:b/>
                <w:bCs/>
                <w:color w:val="auto"/>
                <w:sz w:val="24"/>
                <w:highlight w:val="none"/>
                <w:lang w:eastAsia="zh-CN"/>
              </w:rPr>
              <w:t>防治措施及</w:t>
            </w:r>
            <w:r>
              <w:rPr>
                <w:rFonts w:hint="default" w:ascii="Times New Roman" w:hAnsi="Times New Roman" w:cs="Times New Roman"/>
                <w:b/>
                <w:bCs/>
                <w:color w:val="auto"/>
                <w:sz w:val="24"/>
                <w:highlight w:val="none"/>
              </w:rPr>
              <w:t>影响分析</w:t>
            </w:r>
          </w:p>
          <w:p>
            <w:pPr>
              <w:adjustRightInd w:val="0"/>
              <w:snapToGrid w:val="0"/>
              <w:spacing w:line="360" w:lineRule="auto"/>
              <w:ind w:firstLine="480" w:firstLineChars="200"/>
              <w:rPr>
                <w:rFonts w:hint="eastAsia"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）施工扬尘影响分析</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间对环境空气影响最大的是施工扬尘，来源于各种无组织排放源，其中场地清理、土方挖掘、建筑材料运输等工序的产生量较大，原材料堆存、建筑结构施工、设备安装等产生量较小，由于施工污染源为间歇性源并且扬尘点低，只会在近距离内形成局部污染。根据《山西省大气污染防治2018行动计划》要求，施工期主要扬尘污染防治措施如下：</w:t>
            </w:r>
          </w:p>
          <w:p>
            <w:pPr>
              <w:tabs>
                <w:tab w:val="left" w:pos="0"/>
              </w:tabs>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①建筑施工场地做到6个100%，即：施工工地周边100%围挡；物料堆放100%覆盖；土方开挖100%湿法作业；出入车辆100%冲洗；施工现场地面100%硬化；渣土车辆100%密闭运输。</w:t>
            </w:r>
          </w:p>
          <w:p>
            <w:pPr>
              <w:tabs>
                <w:tab w:val="left" w:pos="0"/>
              </w:tabs>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②对易产生扬尘的建筑材料，例如砂子、石灰、水泥等应密闭储存和遮盖防尘布； 对施工厂区定期洒水抑尘，对施工场地裸地应洒抑尘剂；</w:t>
            </w:r>
          </w:p>
          <w:p>
            <w:pPr>
              <w:tabs>
                <w:tab w:val="left" w:pos="0"/>
              </w:tabs>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③进出工地的物料、渣土、垃圾运输车辆，应尽可能采用密闭车斗，并保证物料不遗撒外漏，无密闭车斗时车辆装载高度不得超过车辆槽帮上沿，车斗应用篷布遮盖。</w:t>
            </w:r>
          </w:p>
          <w:p>
            <w:pPr>
              <w:tabs>
                <w:tab w:val="left" w:pos="0"/>
              </w:tabs>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通过以上措施可大大减少堆场扬尘的发生量，对周围环境不会造成大的影响。</w:t>
            </w:r>
          </w:p>
          <w:p>
            <w:pPr>
              <w:adjustRightInd w:val="0"/>
              <w:snapToGrid w:val="0"/>
              <w:spacing w:line="360" w:lineRule="auto"/>
              <w:ind w:firstLine="480" w:firstLineChars="200"/>
              <w:textAlignment w:val="baseline"/>
              <w:rPr>
                <w:rFonts w:hint="default" w:ascii="Times New Roman" w:hAnsi="Times New Roman" w:cs="Times New Roman"/>
                <w:color w:val="auto"/>
                <w:kern w:val="18"/>
                <w:sz w:val="24"/>
                <w:highlight w:val="none"/>
              </w:rPr>
            </w:pPr>
            <w:r>
              <w:rPr>
                <w:rFonts w:hint="default" w:ascii="Times New Roman" w:hAnsi="Times New Roman" w:cs="Times New Roman"/>
                <w:color w:val="auto"/>
                <w:kern w:val="18"/>
                <w:sz w:val="24"/>
                <w:highlight w:val="none"/>
              </w:rPr>
              <w:t>（2）</w:t>
            </w:r>
            <w:r>
              <w:rPr>
                <w:rFonts w:hint="default" w:ascii="Times New Roman" w:hAnsi="Times New Roman" w:cs="Times New Roman"/>
                <w:color w:val="auto"/>
                <w:sz w:val="24"/>
                <w:highlight w:val="none"/>
              </w:rPr>
              <w:t>运输车辆及作业机械尾气</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机械和汽车运输时所排放的尾气，主要有CO、NOx、THC等大气污染物，会对作业点周围局部范围产生一定影响，但影响范围主要局限于施工区内。且由于作用时间短，并随施工的完成而消失。因此，施工机械尾气对环境空气影响小。</w:t>
            </w:r>
          </w:p>
          <w:p>
            <w:pPr>
              <w:pStyle w:val="10"/>
              <w:adjustRightInd w:val="0"/>
              <w:snapToGrid w:val="0"/>
              <w:spacing w:line="360" w:lineRule="auto"/>
              <w:ind w:firstLine="486"/>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综上，施工期扬尘和机械尾气在采取环保措施的基础上，对周围环境影响较小。</w:t>
            </w:r>
          </w:p>
          <w:p>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2、水环境</w:t>
            </w:r>
            <w:r>
              <w:rPr>
                <w:rFonts w:hint="eastAsia" w:cs="Times New Roman"/>
                <w:b/>
                <w:bCs/>
                <w:color w:val="auto"/>
                <w:sz w:val="24"/>
                <w:highlight w:val="none"/>
                <w:lang w:eastAsia="zh-CN"/>
              </w:rPr>
              <w:t>污染防治措施及</w:t>
            </w:r>
            <w:r>
              <w:rPr>
                <w:rFonts w:hint="default" w:ascii="Times New Roman" w:hAnsi="Times New Roman" w:cs="Times New Roman"/>
                <w:b/>
                <w:bCs/>
                <w:color w:val="auto"/>
                <w:sz w:val="24"/>
                <w:highlight w:val="none"/>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间的生产用水主要为砂浆配制过程用水及机械、车辆冲洗用水，施工期生产废水的排放主要由设备冲洗及施工中的跑、冒、滴、漏、溢流产生，主要为少量混砂，不含其它杂质，这类废水在施工现场设一临时沉淀池收集后回用。施工人员生活污水经沉淀池沉淀后回用，不外排。</w:t>
            </w:r>
          </w:p>
          <w:p>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eastAsia" w:eastAsia="宋体"/>
                <w:color w:val="auto"/>
                <w:highlight w:val="none"/>
                <w:lang w:eastAsia="zh-CN"/>
              </w:rPr>
            </w:pPr>
            <w:r>
              <w:rPr>
                <w:rFonts w:hint="eastAsia" w:cs="Times New Roman"/>
                <w:color w:val="auto"/>
                <w:sz w:val="24"/>
                <w:highlight w:val="none"/>
                <w:lang w:eastAsia="zh-CN"/>
              </w:rPr>
              <w:t>经上述防治措施处理后，不会对周边水环境产生影响。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 声环境影响分析</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从噪声污染角度出发可以把工程施工期分为土方阶段、基础施工阶段、结构制作阶段及设备安装阶段，各阶段具有其独自的噪声特性。第一阶段的噪声源主要有推土机、挖掘机、装载机及各种车辆等，这些声源大部分属于移动声源，没有明显的指向性；第二阶段的噪声源主要有各种打桩机等，属于脉冲噪声，基本上是固定声源；第三阶段的主要产噪设备有振捣棒、电锯等，其中包括一些撞击噪声；第四阶段的主要产噪设备有吊车、升降机等。这些噪声源均为间歇性源，施工过程各声源设备源强类比调查结果见表</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-1。</w:t>
            </w:r>
          </w:p>
          <w:p>
            <w:pPr>
              <w:adjustRightInd w:val="0"/>
              <w:snapToGrid w:val="0"/>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eastAsia" w:cs="Times New Roman"/>
                <w:b/>
                <w:color w:val="auto"/>
                <w:szCs w:val="21"/>
                <w:highlight w:val="none"/>
                <w:lang w:val="en-US" w:eastAsia="zh-CN"/>
              </w:rPr>
              <w:t>4</w:t>
            </w:r>
            <w:r>
              <w:rPr>
                <w:rFonts w:hint="default" w:ascii="Times New Roman" w:hAnsi="Times New Roman" w:cs="Times New Roman"/>
                <w:b/>
                <w:color w:val="auto"/>
                <w:szCs w:val="21"/>
                <w:highlight w:val="none"/>
              </w:rPr>
              <w:t>-1  施工期主要噪声源一览表 单位：dB（A）</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12"/>
              <w:gridCol w:w="2237"/>
              <w:gridCol w:w="2237"/>
              <w:gridCol w:w="21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施工阶段</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施工机械</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设备的声压级</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声源性质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vMerge w:val="restar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土方阶段</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推土机</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75</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vMerge w:val="continue"/>
                  <w:noWrap w:val="0"/>
                  <w:vAlign w:val="center"/>
                </w:tcPr>
                <w:p>
                  <w:pPr>
                    <w:tabs>
                      <w:tab w:val="left" w:pos="1737"/>
                    </w:tabs>
                    <w:adjustRightInd w:val="0"/>
                    <w:snapToGrid w:val="0"/>
                    <w:jc w:val="center"/>
                    <w:rPr>
                      <w:rFonts w:hint="default" w:ascii="Times New Roman" w:hAnsi="Times New Roman" w:cs="Times New Roman"/>
                      <w:color w:val="auto"/>
                      <w:highlight w:val="none"/>
                    </w:rPr>
                  </w:pP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挖掘机</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96</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vMerge w:val="continue"/>
                  <w:noWrap w:val="0"/>
                  <w:vAlign w:val="center"/>
                </w:tcPr>
                <w:p>
                  <w:pPr>
                    <w:tabs>
                      <w:tab w:val="left" w:pos="1737"/>
                    </w:tabs>
                    <w:adjustRightInd w:val="0"/>
                    <w:snapToGrid w:val="0"/>
                    <w:jc w:val="center"/>
                    <w:rPr>
                      <w:rFonts w:hint="default" w:ascii="Times New Roman" w:hAnsi="Times New Roman" w:cs="Times New Roman"/>
                      <w:color w:val="auto"/>
                      <w:highlight w:val="none"/>
                    </w:rPr>
                  </w:pP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装载机</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88</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vMerge w:val="continue"/>
                  <w:noWrap w:val="0"/>
                  <w:vAlign w:val="center"/>
                </w:tcPr>
                <w:p>
                  <w:pPr>
                    <w:tabs>
                      <w:tab w:val="left" w:pos="1737"/>
                    </w:tabs>
                    <w:adjustRightInd w:val="0"/>
                    <w:snapToGrid w:val="0"/>
                    <w:jc w:val="center"/>
                    <w:rPr>
                      <w:rFonts w:hint="default" w:ascii="Times New Roman" w:hAnsi="Times New Roman" w:cs="Times New Roman"/>
                      <w:color w:val="auto"/>
                      <w:highlight w:val="none"/>
                    </w:rPr>
                  </w:pP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各种车辆</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80</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基础施工阶段</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冲击打夯机</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105</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vMerge w:val="restar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结构制作阶段</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振捣棒</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105</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vMerge w:val="continue"/>
                  <w:noWrap w:val="0"/>
                  <w:vAlign w:val="center"/>
                </w:tcPr>
                <w:p>
                  <w:pPr>
                    <w:tabs>
                      <w:tab w:val="left" w:pos="1737"/>
                    </w:tabs>
                    <w:adjustRightInd w:val="0"/>
                    <w:snapToGrid w:val="0"/>
                    <w:jc w:val="center"/>
                    <w:rPr>
                      <w:rFonts w:hint="default" w:ascii="Times New Roman" w:hAnsi="Times New Roman" w:cs="Times New Roman"/>
                      <w:color w:val="auto"/>
                      <w:highlight w:val="none"/>
                    </w:rPr>
                  </w:pP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电锯</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110</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vMerge w:val="restar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设备安装阶段</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吊车</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vMerge w:val="continue"/>
                  <w:noWrap w:val="0"/>
                  <w:vAlign w:val="center"/>
                </w:tcPr>
                <w:p>
                  <w:pPr>
                    <w:tabs>
                      <w:tab w:val="left" w:pos="1737"/>
                    </w:tabs>
                    <w:adjustRightInd w:val="0"/>
                    <w:snapToGrid w:val="0"/>
                    <w:jc w:val="center"/>
                    <w:rPr>
                      <w:rFonts w:hint="default" w:ascii="Times New Roman" w:hAnsi="Times New Roman" w:cs="Times New Roman"/>
                      <w:color w:val="auto"/>
                      <w:highlight w:val="none"/>
                    </w:rPr>
                  </w:pP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升降机</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间歇</w:t>
                  </w:r>
                </w:p>
              </w:tc>
            </w:tr>
          </w:tbl>
          <w:p>
            <w:pPr>
              <w:adjustRightInd w:val="0"/>
              <w:snapToGrid w:val="0"/>
              <w:spacing w:before="120"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为最大</w:t>
            </w:r>
            <w:r>
              <w:rPr>
                <w:rFonts w:hint="eastAsia" w:cs="Times New Roman"/>
                <w:color w:val="auto"/>
                <w:sz w:val="24"/>
                <w:highlight w:val="none"/>
                <w:lang w:eastAsia="zh-CN"/>
              </w:rPr>
              <w:t>程度地减轻</w:t>
            </w:r>
            <w:r>
              <w:rPr>
                <w:rFonts w:hint="default" w:ascii="Times New Roman" w:hAnsi="Times New Roman" w:cs="Times New Roman"/>
                <w:color w:val="auto"/>
                <w:sz w:val="24"/>
                <w:highlight w:val="none"/>
              </w:rPr>
              <w:t>噪声污染，施工单位应做到：</w:t>
            </w:r>
          </w:p>
          <w:p>
            <w:pPr>
              <w:adjustRightInd w:val="0"/>
              <w:snapToGrid w:val="0"/>
              <w:spacing w:line="360" w:lineRule="auto"/>
              <w:ind w:firstLine="496" w:firstLineChars="200"/>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（1）制定严格合理的施工计划，集中安排高噪声施工阶段，便于合理控制；</w:t>
            </w:r>
          </w:p>
          <w:p>
            <w:pPr>
              <w:adjustRightInd w:val="0"/>
              <w:snapToGrid w:val="0"/>
              <w:spacing w:line="360" w:lineRule="auto"/>
              <w:ind w:firstLine="496" w:firstLineChars="200"/>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（2）事先公告施工状况，以征得周围居民的谅解；</w:t>
            </w:r>
          </w:p>
          <w:p>
            <w:pPr>
              <w:adjustRightInd w:val="0"/>
              <w:snapToGrid w:val="0"/>
              <w:spacing w:line="360" w:lineRule="auto"/>
              <w:ind w:firstLine="496" w:firstLineChars="200"/>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（3）施工区应实施严格的隔离措施，降低施工噪声影响；</w:t>
            </w:r>
          </w:p>
          <w:p>
            <w:pPr>
              <w:widowControl/>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（4）在施工阶段采用商品砼，不仅可减少扬尘，而且还避免搅拌机噪声污染。</w:t>
            </w:r>
          </w:p>
          <w:p>
            <w:pPr>
              <w:adjustRightInd w:val="0"/>
              <w:snapToGrid w:val="0"/>
              <w:spacing w:line="360" w:lineRule="auto"/>
              <w:ind w:firstLine="496" w:firstLineChars="200"/>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（5）高产噪设备的施工时间应安排在日间非休息时段，夜间禁止施工；</w:t>
            </w:r>
          </w:p>
          <w:p>
            <w:pPr>
              <w:widowControl/>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6）尽可能利用噪声距离衰减措施，在不影响施工的条件下，将强噪声设备尽量移至距场界较远的地方，保证施工场界达标。尽量将强噪声设备分散安排，同时相对固定的机械设备尽量入棚操作，最大限度减少施工噪声对周围居民的影响。</w:t>
            </w:r>
          </w:p>
          <w:p>
            <w:pPr>
              <w:adjustRightInd w:val="0"/>
              <w:snapToGrid w:val="0"/>
              <w:spacing w:line="360" w:lineRule="auto"/>
              <w:ind w:firstLine="496" w:firstLineChars="200"/>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7）施工设备选型上应尽量采用低噪声设备，如振捣器采用变频振捣器等；对动力机械设备进行定期的维修、养护，因设备常因松动部件的震动或消声器破坏而加大其工作时的声级；尽量少用哨子、喇叭等指挥作业，减少人为噪声；</w:t>
            </w:r>
          </w:p>
          <w:p>
            <w:pPr>
              <w:adjustRightInd w:val="0"/>
              <w:snapToGrid w:val="0"/>
              <w:spacing w:line="360" w:lineRule="auto"/>
              <w:ind w:firstLine="496" w:firstLineChars="200"/>
              <w:rPr>
                <w:rFonts w:hint="default" w:ascii="Times New Roman" w:hAnsi="Times New Roman" w:cs="Times New Roman"/>
                <w:color w:val="auto"/>
                <w:sz w:val="24"/>
                <w:highlight w:val="none"/>
              </w:rPr>
            </w:pPr>
            <w:r>
              <w:rPr>
                <w:rFonts w:hint="default" w:ascii="Times New Roman" w:hAnsi="Times New Roman" w:cs="Times New Roman"/>
                <w:color w:val="auto"/>
                <w:spacing w:val="4"/>
                <w:sz w:val="24"/>
                <w:highlight w:val="none"/>
              </w:rPr>
              <w:t>（8）对位置相对固定的产噪机械设备，能设在棚内操作的应尽量进入操作间，不能入棚的也应适当建立围隔声障</w:t>
            </w:r>
            <w:r>
              <w:rPr>
                <w:rFonts w:hint="default" w:ascii="Times New Roman" w:hAnsi="Times New Roman" w:cs="Times New Roman"/>
                <w:color w:val="auto"/>
                <w:sz w:val="24"/>
                <w:highlight w:val="none"/>
              </w:rPr>
              <w:t>。</w:t>
            </w:r>
          </w:p>
          <w:p>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eastAsia" w:eastAsia="宋体"/>
                <w:color w:val="auto"/>
                <w:highlight w:val="none"/>
                <w:lang w:eastAsia="zh-CN"/>
              </w:rPr>
            </w:pPr>
            <w:r>
              <w:rPr>
                <w:rFonts w:hint="eastAsia" w:cs="Times New Roman"/>
                <w:color w:val="auto"/>
                <w:sz w:val="24"/>
                <w:highlight w:val="none"/>
                <w:lang w:eastAsia="zh-CN"/>
              </w:rPr>
              <w:t>经上述防治措施处理后，对周边声环境影响较小。</w:t>
            </w:r>
          </w:p>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4、固体废物环境影响分析</w:t>
            </w:r>
          </w:p>
          <w:p>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eastAsia" w:eastAsia="宋体"/>
                <w:color w:val="auto"/>
                <w:highlight w:val="none"/>
                <w:lang w:eastAsia="zh-CN"/>
              </w:rPr>
            </w:pPr>
            <w:r>
              <w:rPr>
                <w:rFonts w:hint="default" w:ascii="Times New Roman" w:hAnsi="Times New Roman" w:cs="Times New Roman"/>
                <w:color w:val="auto"/>
                <w:sz w:val="24"/>
                <w:highlight w:val="none"/>
              </w:rPr>
              <w:t>施工期的固体废物主要来源于施工产生的建筑垃圾及施工人员产生的少量的生活垃圾。建筑垃圾统一清运到指定垃圾处理场处理。生活垃圾应定点堆放，收集后送当地环卫部门指定地点处置。</w:t>
            </w:r>
            <w:r>
              <w:rPr>
                <w:rFonts w:hint="eastAsia" w:cs="Times New Roman"/>
                <w:color w:val="auto"/>
                <w:sz w:val="24"/>
                <w:highlight w:val="none"/>
                <w:lang w:eastAsia="zh-CN"/>
              </w:rPr>
              <w:t>经上述措施处理后，不会对周边环境产生影响。</w:t>
            </w:r>
          </w:p>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5、生态影响分析</w:t>
            </w:r>
          </w:p>
          <w:p>
            <w:pPr>
              <w:adjustRightInd w:val="0"/>
              <w:snapToGrid w:val="0"/>
              <w:spacing w:line="360" w:lineRule="auto"/>
              <w:ind w:firstLine="480" w:firstLineChars="200"/>
              <w:textAlignment w:val="baseline"/>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施工期环境影响主要为场地挖填对土地扰动作用，植被破坏，短期内使水土流失加剧，对局部生态环境有不利影响。</w:t>
            </w:r>
            <w:r>
              <w:rPr>
                <w:rFonts w:hint="default" w:ascii="Times New Roman" w:hAnsi="Times New Roman" w:cs="Times New Roman"/>
                <w:bCs/>
                <w:color w:val="auto"/>
                <w:sz w:val="24"/>
                <w:highlight w:val="none"/>
              </w:rPr>
              <w:t>评价要求</w:t>
            </w:r>
            <w:r>
              <w:rPr>
                <w:rFonts w:hint="default" w:ascii="Times New Roman" w:hAnsi="Times New Roman" w:cs="Times New Roman"/>
                <w:color w:val="auto"/>
                <w:kern w:val="0"/>
                <w:sz w:val="24"/>
                <w:highlight w:val="none"/>
              </w:rPr>
              <w:t>合理划定施工范围，严格控制开挖面和开挖量，</w:t>
            </w:r>
            <w:r>
              <w:rPr>
                <w:rFonts w:hint="default" w:ascii="Times New Roman" w:hAnsi="Times New Roman" w:cs="Times New Roman"/>
                <w:bCs/>
                <w:color w:val="auto"/>
                <w:sz w:val="24"/>
                <w:highlight w:val="none"/>
              </w:rPr>
              <w:t>对施工期土方进行苫盖等，施工期结束后对厂区进行硬化、绿化。施工期对生态的影响较小。</w:t>
            </w:r>
          </w:p>
          <w:p>
            <w:pPr>
              <w:adjustRightInd w:val="0"/>
              <w:snapToGrid w:val="0"/>
              <w:rPr>
                <w:rFonts w:hint="eastAsia" w:ascii="宋体" w:hAnsi="宋体" w:eastAsia="宋体" w:cs="宋体"/>
                <w:bCs/>
                <w:color w:val="auto"/>
                <w:spacing w:val="-10"/>
                <w:szCs w:val="21"/>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adjustRightInd w:val="0"/>
              <w:snapToGrid w:val="0"/>
              <w:rPr>
                <w:rFonts w:hint="eastAsia" w:ascii="宋体" w:hAnsi="宋体" w:eastAsia="宋体" w:cs="宋体"/>
                <w:bCs/>
                <w:color w:val="auto"/>
                <w:spacing w:val="-10"/>
                <w:szCs w:val="21"/>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ind w:left="0" w:leftChars="0" w:firstLine="0" w:firstLineChars="0"/>
              <w:rPr>
                <w:rFonts w:hint="eastAsia"/>
                <w:color w:val="auto"/>
                <w:highlight w:val="none"/>
                <w:lang w:eastAsia="zh-CN"/>
              </w:rPr>
            </w:pPr>
          </w:p>
          <w:p>
            <w:pPr>
              <w:pStyle w:val="22"/>
              <w:rPr>
                <w:rFonts w:hint="eastAsia"/>
                <w:color w:val="auto"/>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9" w:hRule="atLeast"/>
          <w:jc w:val="center"/>
        </w:trPr>
        <w:tc>
          <w:tcPr>
            <w:tcW w:w="580" w:type="dxa"/>
            <w:noWrap w:val="0"/>
            <w:tcMar>
              <w:left w:w="28" w:type="dxa"/>
              <w:right w:w="28" w:type="dxa"/>
            </w:tcMar>
            <w:vAlign w:val="center"/>
          </w:tcPr>
          <w:p>
            <w:pPr>
              <w:adjustRightInd w:val="0"/>
              <w:snapToGrid w:val="0"/>
              <w:jc w:val="center"/>
              <w:rPr>
                <w:rFonts w:hint="eastAsia" w:ascii="宋体" w:hAnsi="宋体" w:cs="宋体"/>
                <w:b/>
                <w:bCs w:val="0"/>
                <w:color w:val="auto"/>
                <w:sz w:val="28"/>
                <w:szCs w:val="28"/>
                <w:highlight w:val="none"/>
              </w:rPr>
            </w:pPr>
            <w:r>
              <w:rPr>
                <w:rFonts w:hint="eastAsia" w:ascii="宋体" w:hAnsi="宋体" w:cs="宋体"/>
                <w:b/>
                <w:bCs w:val="0"/>
                <w:color w:val="auto"/>
                <w:sz w:val="28"/>
                <w:szCs w:val="28"/>
                <w:highlight w:val="none"/>
              </w:rPr>
              <w:t>运营</w:t>
            </w:r>
          </w:p>
          <w:p>
            <w:pPr>
              <w:adjustRightInd w:val="0"/>
              <w:snapToGrid w:val="0"/>
              <w:jc w:val="center"/>
              <w:rPr>
                <w:rFonts w:hint="eastAsia" w:ascii="宋体" w:hAnsi="宋体" w:cs="宋体"/>
                <w:b/>
                <w:bCs w:val="0"/>
                <w:color w:val="auto"/>
                <w:sz w:val="28"/>
                <w:szCs w:val="28"/>
                <w:highlight w:val="none"/>
              </w:rPr>
            </w:pPr>
            <w:r>
              <w:rPr>
                <w:rFonts w:hint="eastAsia" w:ascii="宋体" w:hAnsi="宋体" w:cs="宋体"/>
                <w:b/>
                <w:bCs w:val="0"/>
                <w:color w:val="auto"/>
                <w:sz w:val="28"/>
                <w:szCs w:val="28"/>
                <w:highlight w:val="none"/>
              </w:rPr>
              <w:t>期环</w:t>
            </w:r>
          </w:p>
          <w:p>
            <w:pPr>
              <w:adjustRightInd w:val="0"/>
              <w:snapToGrid w:val="0"/>
              <w:jc w:val="center"/>
              <w:rPr>
                <w:rFonts w:hint="eastAsia" w:ascii="宋体" w:hAnsi="宋体" w:cs="宋体"/>
                <w:b/>
                <w:bCs w:val="0"/>
                <w:color w:val="auto"/>
                <w:sz w:val="28"/>
                <w:szCs w:val="28"/>
                <w:highlight w:val="none"/>
              </w:rPr>
            </w:pPr>
            <w:r>
              <w:rPr>
                <w:rFonts w:hint="eastAsia" w:ascii="宋体" w:hAnsi="宋体" w:cs="宋体"/>
                <w:b/>
                <w:bCs w:val="0"/>
                <w:color w:val="auto"/>
                <w:sz w:val="28"/>
                <w:szCs w:val="28"/>
                <w:highlight w:val="none"/>
              </w:rPr>
              <w:t>境影</w:t>
            </w:r>
          </w:p>
          <w:p>
            <w:pPr>
              <w:adjustRightInd w:val="0"/>
              <w:snapToGrid w:val="0"/>
              <w:jc w:val="center"/>
              <w:rPr>
                <w:rFonts w:hint="eastAsia" w:ascii="宋体" w:hAnsi="宋体" w:cs="宋体"/>
                <w:b/>
                <w:bCs w:val="0"/>
                <w:color w:val="auto"/>
                <w:sz w:val="28"/>
                <w:szCs w:val="28"/>
                <w:highlight w:val="none"/>
              </w:rPr>
            </w:pPr>
            <w:r>
              <w:rPr>
                <w:rFonts w:hint="eastAsia" w:ascii="宋体" w:hAnsi="宋体" w:cs="宋体"/>
                <w:b/>
                <w:bCs w:val="0"/>
                <w:color w:val="auto"/>
                <w:sz w:val="28"/>
                <w:szCs w:val="28"/>
                <w:highlight w:val="none"/>
              </w:rPr>
              <w:t>响和</w:t>
            </w:r>
          </w:p>
          <w:p>
            <w:pPr>
              <w:adjustRightInd w:val="0"/>
              <w:snapToGrid w:val="0"/>
              <w:jc w:val="center"/>
              <w:rPr>
                <w:rFonts w:hint="eastAsia" w:ascii="宋体" w:hAnsi="宋体" w:cs="宋体"/>
                <w:b/>
                <w:bCs w:val="0"/>
                <w:color w:val="auto"/>
                <w:sz w:val="28"/>
                <w:szCs w:val="28"/>
                <w:highlight w:val="none"/>
              </w:rPr>
            </w:pPr>
            <w:r>
              <w:rPr>
                <w:rFonts w:hint="eastAsia" w:ascii="宋体" w:hAnsi="宋体" w:cs="宋体"/>
                <w:b/>
                <w:bCs w:val="0"/>
                <w:color w:val="auto"/>
                <w:sz w:val="28"/>
                <w:szCs w:val="28"/>
                <w:highlight w:val="none"/>
              </w:rPr>
              <w:t>保护</w:t>
            </w:r>
          </w:p>
          <w:p>
            <w:pPr>
              <w:adjustRightInd w:val="0"/>
              <w:snapToGrid w:val="0"/>
              <w:jc w:val="center"/>
              <w:rPr>
                <w:rFonts w:ascii="宋体" w:hAnsi="宋体" w:cs="宋体"/>
                <w:bCs/>
                <w:color w:val="auto"/>
                <w:szCs w:val="21"/>
                <w:highlight w:val="none"/>
              </w:rPr>
            </w:pPr>
            <w:r>
              <w:rPr>
                <w:rFonts w:hint="eastAsia" w:ascii="宋体" w:hAnsi="宋体" w:cs="宋体"/>
                <w:b/>
                <w:bCs w:val="0"/>
                <w:color w:val="auto"/>
                <w:sz w:val="28"/>
                <w:szCs w:val="28"/>
                <w:highlight w:val="none"/>
              </w:rPr>
              <w:t>措施</w:t>
            </w:r>
          </w:p>
        </w:tc>
        <w:tc>
          <w:tcPr>
            <w:tcW w:w="8708" w:type="dxa"/>
            <w:noWrap w:val="0"/>
            <w:vAlign w:val="center"/>
          </w:tcPr>
          <w:p>
            <w:pPr>
              <w:tabs>
                <w:tab w:val="left" w:pos="1080"/>
              </w:tabs>
              <w:adjustRightInd w:val="0"/>
              <w:snapToGrid w:val="0"/>
              <w:spacing w:line="360" w:lineRule="auto"/>
              <w:rPr>
                <w:rFonts w:hint="eastAsia" w:ascii="Times New Roman" w:hAnsi="Times New Roman" w:eastAsia="宋体" w:cs="Times New Roman"/>
                <w:b/>
                <w:color w:val="auto"/>
                <w:sz w:val="24"/>
                <w:highlight w:val="none"/>
                <w:lang w:eastAsia="zh-CN"/>
              </w:rPr>
            </w:pPr>
            <w:r>
              <w:rPr>
                <w:rFonts w:hint="default" w:ascii="Times New Roman" w:hAnsi="Times New Roman" w:cs="Times New Roman"/>
                <w:b/>
                <w:color w:val="auto"/>
                <w:sz w:val="24"/>
                <w:highlight w:val="none"/>
              </w:rPr>
              <w:t>1、</w:t>
            </w:r>
            <w:r>
              <w:rPr>
                <w:rFonts w:hint="eastAsia" w:cs="Times New Roman"/>
                <w:b/>
                <w:color w:val="auto"/>
                <w:sz w:val="24"/>
                <w:highlight w:val="none"/>
                <w:lang w:eastAsia="zh-CN"/>
              </w:rPr>
              <w:t>废气</w:t>
            </w:r>
          </w:p>
          <w:p>
            <w:pPr>
              <w:keepNext w:val="0"/>
              <w:keepLines w:val="0"/>
              <w:pageBreakBefore w:val="0"/>
              <w:widowControl w:val="0"/>
              <w:tabs>
                <w:tab w:val="left" w:pos="1080"/>
              </w:tabs>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1.1</w:t>
            </w:r>
            <w:r>
              <w:rPr>
                <w:rFonts w:hint="eastAsia" w:cs="Times New Roman"/>
                <w:b/>
                <w:bCs/>
                <w:color w:val="auto"/>
                <w:sz w:val="24"/>
                <w:highlight w:val="none"/>
                <w:lang w:eastAsia="zh-CN"/>
              </w:rPr>
              <w:t>废气</w:t>
            </w:r>
            <w:r>
              <w:rPr>
                <w:rFonts w:hint="default" w:ascii="Times New Roman" w:hAnsi="Times New Roman" w:cs="Times New Roman"/>
                <w:b/>
                <w:bCs/>
                <w:color w:val="auto"/>
                <w:sz w:val="24"/>
                <w:highlight w:val="none"/>
              </w:rPr>
              <w:t>污染源强核算</w:t>
            </w:r>
          </w:p>
          <w:p>
            <w:pPr>
              <w:tabs>
                <w:tab w:val="left" w:pos="1080"/>
              </w:tabs>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（1）车辆运输</w:t>
            </w:r>
          </w:p>
          <w:p>
            <w:pPr>
              <w:tabs>
                <w:tab w:val="left" w:pos="1080"/>
              </w:tabs>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运输车辆会产生道路扬尘，起尘量采用以下公式进行计算：</w:t>
            </w:r>
          </w:p>
          <w:p>
            <w:pPr>
              <w:tabs>
                <w:tab w:val="left" w:pos="1080"/>
              </w:tabs>
              <w:adjustRightInd w:val="0"/>
              <w:snapToGrid w:val="0"/>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drawing>
                <wp:inline distT="0" distB="0" distL="114300" distR="114300">
                  <wp:extent cx="1664335" cy="379730"/>
                  <wp:effectExtent l="0" t="0" r="12065" b="127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22"/>
                          <a:stretch>
                            <a:fillRect/>
                          </a:stretch>
                        </pic:blipFill>
                        <pic:spPr>
                          <a:xfrm>
                            <a:off x="0" y="0"/>
                            <a:ext cx="1664335" cy="379730"/>
                          </a:xfrm>
                          <a:prstGeom prst="rect">
                            <a:avLst/>
                          </a:prstGeom>
                          <a:noFill/>
                          <a:ln>
                            <a:noFill/>
                          </a:ln>
                        </pic:spPr>
                      </pic:pic>
                    </a:graphicData>
                  </a:graphic>
                </wp:inline>
              </w:drawing>
            </w:r>
          </w:p>
          <w:p>
            <w:pPr>
              <w:tabs>
                <w:tab w:val="left" w:pos="1080"/>
              </w:tabs>
              <w:adjustRightInd w:val="0"/>
              <w:snapToGrid w:val="0"/>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drawing>
                <wp:inline distT="0" distB="0" distL="114300" distR="114300">
                  <wp:extent cx="939800" cy="259080"/>
                  <wp:effectExtent l="0" t="0" r="0" b="6985"/>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23"/>
                          <a:stretch>
                            <a:fillRect/>
                          </a:stretch>
                        </pic:blipFill>
                        <pic:spPr>
                          <a:xfrm>
                            <a:off x="0" y="0"/>
                            <a:ext cx="939800" cy="259080"/>
                          </a:xfrm>
                          <a:prstGeom prst="rect">
                            <a:avLst/>
                          </a:prstGeom>
                          <a:noFill/>
                          <a:ln>
                            <a:noFill/>
                          </a:ln>
                        </pic:spPr>
                      </pic:pic>
                    </a:graphicData>
                  </a:graphic>
                </wp:inline>
              </w:drawing>
            </w:r>
          </w:p>
          <w:p>
            <w:pPr>
              <w:tabs>
                <w:tab w:val="left" w:pos="1080"/>
              </w:tabs>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式中：Q</w:t>
            </w:r>
            <w:r>
              <w:rPr>
                <w:rFonts w:hint="default" w:ascii="Times New Roman" w:hAnsi="Times New Roman" w:cs="Times New Roman"/>
                <w:color w:val="auto"/>
                <w:sz w:val="24"/>
                <w:highlight w:val="none"/>
                <w:vertAlign w:val="subscript"/>
              </w:rPr>
              <w:t>p</w:t>
            </w:r>
            <w:r>
              <w:rPr>
                <w:rFonts w:hint="default" w:ascii="Times New Roman" w:hAnsi="Times New Roman" w:cs="Times New Roman"/>
                <w:color w:val="auto"/>
                <w:sz w:val="24"/>
                <w:highlight w:val="none"/>
              </w:rPr>
              <w:t>——道路扬尘量，(kg/km·辆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w:t>
            </w:r>
          </w:p>
          <w:p>
            <w:pPr>
              <w:tabs>
                <w:tab w:val="left" w:pos="1080"/>
              </w:tabs>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Q</w:t>
            </w:r>
            <w:r>
              <w:rPr>
                <w:rFonts w:hint="default" w:ascii="Times New Roman" w:hAnsi="Times New Roman" w:cs="Times New Roman"/>
                <w:color w:val="auto"/>
                <w:sz w:val="24"/>
                <w:highlight w:val="none"/>
                <w:vertAlign w:val="superscript"/>
              </w:rPr>
              <w:t>1</w:t>
            </w:r>
            <w:r>
              <w:rPr>
                <w:rFonts w:hint="default" w:ascii="Times New Roman" w:hAnsi="Times New Roman" w:cs="Times New Roman"/>
                <w:color w:val="auto"/>
                <w:sz w:val="24"/>
                <w:highlight w:val="none"/>
                <w:vertAlign w:val="subscript"/>
              </w:rPr>
              <w:t>p</w:t>
            </w:r>
            <w:r>
              <w:rPr>
                <w:rFonts w:hint="default" w:ascii="Times New Roman" w:hAnsi="Times New Roman" w:cs="Times New Roman"/>
                <w:color w:val="auto"/>
                <w:sz w:val="24"/>
                <w:highlight w:val="none"/>
              </w:rPr>
              <w:t>——总扬尘量，(kg/a);</w:t>
            </w:r>
          </w:p>
          <w:p>
            <w:pPr>
              <w:tabs>
                <w:tab w:val="left" w:pos="1080"/>
              </w:tabs>
              <w:adjustRightInd w:val="0"/>
              <w:snapToGrid w:val="0"/>
              <w:spacing w:line="360" w:lineRule="auto"/>
              <w:ind w:firstLine="1128" w:firstLineChars="47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V——车辆速度，(20km/h);</w:t>
            </w:r>
          </w:p>
          <w:p>
            <w:pPr>
              <w:tabs>
                <w:tab w:val="left" w:pos="1080"/>
              </w:tabs>
              <w:adjustRightInd w:val="0"/>
              <w:snapToGrid w:val="0"/>
              <w:spacing w:line="360" w:lineRule="auto"/>
              <w:ind w:firstLine="1128" w:firstLineChars="47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M——车辆载重，(t/辆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；20t/辆</w:t>
            </w:r>
          </w:p>
          <w:p>
            <w:pPr>
              <w:tabs>
                <w:tab w:val="left" w:pos="1080"/>
              </w:tabs>
              <w:adjustRightInd w:val="0"/>
              <w:snapToGrid w:val="0"/>
              <w:spacing w:line="360" w:lineRule="auto"/>
              <w:ind w:firstLine="1128" w:firstLineChars="47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P——路面灰尘覆盖率，0.1kg/m</w:t>
            </w:r>
            <w:r>
              <w:rPr>
                <w:rFonts w:hint="default" w:ascii="Times New Roman" w:hAnsi="Times New Roman" w:cs="Times New Roman"/>
                <w:color w:val="auto"/>
                <w:sz w:val="24"/>
                <w:highlight w:val="none"/>
                <w:vertAlign w:val="superscript"/>
              </w:rPr>
              <w:t>2</w:t>
            </w:r>
          </w:p>
          <w:p>
            <w:pPr>
              <w:tabs>
                <w:tab w:val="left" w:pos="1080"/>
              </w:tabs>
              <w:adjustRightInd w:val="0"/>
              <w:snapToGrid w:val="0"/>
              <w:spacing w:line="360" w:lineRule="auto"/>
              <w:ind w:firstLine="1128" w:firstLineChars="47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L——运距，(km)，（考虑项目场地至水泥路，按0.25km计算）；</w:t>
            </w:r>
          </w:p>
          <w:p>
            <w:pPr>
              <w:tabs>
                <w:tab w:val="left" w:pos="1080"/>
              </w:tabs>
              <w:adjustRightInd w:val="0"/>
              <w:snapToGrid w:val="0"/>
              <w:spacing w:line="360" w:lineRule="auto"/>
              <w:ind w:firstLine="1128" w:firstLineChars="47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Q——运输量，(t/a)，（考虑进出物料，按</w:t>
            </w:r>
            <w:r>
              <w:rPr>
                <w:rFonts w:hint="eastAsia" w:cs="Times New Roman"/>
                <w:color w:val="auto"/>
                <w:sz w:val="24"/>
                <w:highlight w:val="none"/>
                <w:lang w:val="en-US" w:eastAsia="zh-CN"/>
              </w:rPr>
              <w:t>35</w:t>
            </w:r>
            <w:r>
              <w:rPr>
                <w:rFonts w:hint="default" w:ascii="Times New Roman" w:hAnsi="Times New Roman" w:cs="Times New Roman"/>
                <w:color w:val="auto"/>
                <w:sz w:val="24"/>
                <w:highlight w:val="none"/>
              </w:rPr>
              <w:t>万t/a计算）。</w:t>
            </w:r>
          </w:p>
          <w:p>
            <w:pPr>
              <w:adjustRightInd w:val="0"/>
              <w:snapToGrid w:val="0"/>
              <w:spacing w:line="360" w:lineRule="auto"/>
              <w:ind w:firstLine="480" w:firstLineChars="200"/>
              <w:rPr>
                <w:rFonts w:hint="default" w:ascii="Times New Roman" w:hAnsi="Times New Roman" w:cs="Times New Roman"/>
                <w:color w:val="auto"/>
                <w:sz w:val="24"/>
                <w:szCs w:val="36"/>
                <w:highlight w:val="none"/>
              </w:rPr>
            </w:pPr>
            <w:r>
              <w:rPr>
                <w:rFonts w:hint="default" w:ascii="Times New Roman" w:hAnsi="Times New Roman" w:cs="Times New Roman"/>
                <w:color w:val="auto"/>
                <w:sz w:val="24"/>
                <w:szCs w:val="36"/>
                <w:highlight w:val="none"/>
              </w:rPr>
              <w:t>厂内车辆行驶速度为20km/h，每平方米路面灰尘覆盖率为0.1kg/m</w:t>
            </w:r>
            <w:r>
              <w:rPr>
                <w:rFonts w:hint="default" w:ascii="Times New Roman" w:hAnsi="Times New Roman" w:cs="Times New Roman"/>
                <w:color w:val="auto"/>
                <w:sz w:val="24"/>
                <w:szCs w:val="36"/>
                <w:highlight w:val="none"/>
                <w:vertAlign w:val="superscript"/>
              </w:rPr>
              <w:t>2</w:t>
            </w:r>
            <w:r>
              <w:rPr>
                <w:rFonts w:hint="default" w:ascii="Times New Roman" w:hAnsi="Times New Roman" w:cs="Times New Roman"/>
                <w:color w:val="auto"/>
                <w:sz w:val="24"/>
                <w:szCs w:val="36"/>
                <w:highlight w:val="none"/>
              </w:rPr>
              <w:t>，汽车载重量20t/辆，运输距离为0.25km，运输量为</w:t>
            </w:r>
            <w:r>
              <w:rPr>
                <w:rFonts w:hint="eastAsia" w:cs="Times New Roman"/>
                <w:color w:val="auto"/>
                <w:sz w:val="24"/>
                <w:szCs w:val="36"/>
                <w:highlight w:val="none"/>
                <w:lang w:val="en-US" w:eastAsia="zh-CN"/>
              </w:rPr>
              <w:t>35</w:t>
            </w:r>
            <w:r>
              <w:rPr>
                <w:rFonts w:hint="default" w:ascii="Times New Roman" w:hAnsi="Times New Roman" w:cs="Times New Roman"/>
                <w:color w:val="auto"/>
                <w:sz w:val="24"/>
                <w:szCs w:val="36"/>
                <w:highlight w:val="none"/>
              </w:rPr>
              <w:t>万t/a，经计算，运输起尘量约为</w:t>
            </w:r>
            <w:r>
              <w:rPr>
                <w:rFonts w:hint="eastAsia" w:cs="Times New Roman"/>
                <w:color w:val="auto"/>
                <w:sz w:val="24"/>
                <w:szCs w:val="36"/>
                <w:highlight w:val="none"/>
                <w:lang w:val="en-US" w:eastAsia="zh-CN"/>
              </w:rPr>
              <w:t>1.0</w:t>
            </w:r>
            <w:r>
              <w:rPr>
                <w:rFonts w:hint="default" w:ascii="Times New Roman" w:hAnsi="Times New Roman" w:cs="Times New Roman"/>
                <w:color w:val="auto"/>
                <w:sz w:val="24"/>
                <w:szCs w:val="36"/>
                <w:highlight w:val="none"/>
              </w:rPr>
              <w:t>t/a。</w:t>
            </w:r>
          </w:p>
          <w:p>
            <w:pPr>
              <w:tabs>
                <w:tab w:val="left" w:pos="1080"/>
              </w:tabs>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为进一步减少车辆运输扬尘，</w:t>
            </w:r>
            <w:r>
              <w:rPr>
                <w:rFonts w:hint="default" w:ascii="Times New Roman" w:hAnsi="Times New Roman" w:cs="Times New Roman"/>
                <w:color w:val="auto"/>
                <w:sz w:val="24"/>
                <w:szCs w:val="36"/>
                <w:highlight w:val="none"/>
              </w:rPr>
              <w:t>建设单位应对厂区内未利用地面全部采用混凝土进行硬化，同时，建设单位应使用全封闭运输车辆，减速慢行，并对运输道路设置专人定期洒水、清扫等措施；在厂区出入口设置1座</w:t>
            </w:r>
            <w:r>
              <w:rPr>
                <w:rFonts w:hint="default" w:ascii="Times New Roman" w:hAnsi="Times New Roman" w:cs="Times New Roman"/>
                <w:color w:val="auto"/>
                <w:sz w:val="24"/>
                <w:highlight w:val="none"/>
              </w:rPr>
              <w:t>清洗平台对车辆轮胎进行冲洗，清洗平台下设置</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0 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沉淀池，洗车水循环使用。采取以上措施后，无组织粉尘</w:t>
            </w:r>
            <w:r>
              <w:rPr>
                <w:rFonts w:hint="default" w:ascii="Times New Roman" w:hAnsi="Times New Roman" w:cs="Times New Roman"/>
                <w:color w:val="auto"/>
                <w:sz w:val="24"/>
                <w:szCs w:val="36"/>
                <w:highlight w:val="none"/>
              </w:rPr>
              <w:t>抑尘效率</w:t>
            </w:r>
            <w:r>
              <w:rPr>
                <w:rFonts w:hint="default" w:ascii="Times New Roman" w:hAnsi="Times New Roman" w:cs="Times New Roman"/>
                <w:color w:val="auto"/>
                <w:sz w:val="24"/>
                <w:highlight w:val="none"/>
              </w:rPr>
              <w:t>可达到70%以上，则无组织粉尘排放量为0.</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t/a。</w:t>
            </w:r>
          </w:p>
          <w:p>
            <w:pPr>
              <w:pStyle w:val="23"/>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cs="Times New Roman"/>
                <w:color w:val="auto"/>
                <w:highlight w:val="none"/>
                <w:lang w:val="en-US" w:eastAsia="zh-CN"/>
              </w:rPr>
              <w:t>2</w:t>
            </w:r>
            <w:r>
              <w:rPr>
                <w:rFonts w:hint="default" w:ascii="Times New Roman" w:hAnsi="Times New Roman" w:cs="Times New Roman"/>
                <w:color w:val="auto"/>
                <w:highlight w:val="none"/>
              </w:rPr>
              <w:t>）上料</w:t>
            </w:r>
            <w:r>
              <w:rPr>
                <w:rFonts w:hint="eastAsia" w:ascii="Times New Roman" w:cs="Times New Roman"/>
                <w:color w:val="auto"/>
                <w:highlight w:val="none"/>
                <w:lang w:val="en-US" w:eastAsia="zh-CN"/>
              </w:rPr>
              <w:t>搅拌</w:t>
            </w:r>
            <w:r>
              <w:rPr>
                <w:rFonts w:hint="default" w:ascii="Times New Roman" w:hAnsi="Times New Roman" w:cs="Times New Roman"/>
                <w:color w:val="auto"/>
                <w:highlight w:val="none"/>
              </w:rPr>
              <w:t>粉尘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zh-CN" w:eastAsia="zh-CN" w:bidi="zh-CN"/>
              </w:rPr>
            </w:pPr>
            <w:r>
              <w:rPr>
                <w:rFonts w:hint="eastAsia" w:ascii="Times New Roman" w:hAnsi="Times New Roman" w:eastAsia="宋体" w:cs="Times New Roman"/>
                <w:b w:val="0"/>
                <w:bCs w:val="0"/>
                <w:color w:val="auto"/>
                <w:sz w:val="24"/>
                <w:szCs w:val="24"/>
                <w:highlight w:val="none"/>
                <w:lang w:val="zh-CN" w:eastAsia="zh-CN" w:bidi="zh-CN"/>
              </w:rPr>
              <w:t>项目</w:t>
            </w:r>
            <w:r>
              <w:rPr>
                <w:rFonts w:hint="eastAsia" w:cs="Times New Roman"/>
                <w:b w:val="0"/>
                <w:bCs w:val="0"/>
                <w:color w:val="auto"/>
                <w:sz w:val="24"/>
                <w:szCs w:val="24"/>
                <w:highlight w:val="none"/>
                <w:lang w:val="en-US" w:eastAsia="zh-CN" w:bidi="zh-CN"/>
              </w:rPr>
              <w:t>上料</w:t>
            </w:r>
            <w:r>
              <w:rPr>
                <w:rFonts w:hint="eastAsia" w:ascii="Times New Roman" w:hAnsi="Times New Roman" w:eastAsia="宋体" w:cs="Times New Roman"/>
                <w:b w:val="0"/>
                <w:bCs w:val="0"/>
                <w:color w:val="auto"/>
                <w:sz w:val="24"/>
                <w:szCs w:val="24"/>
                <w:highlight w:val="none"/>
                <w:lang w:val="en-US" w:eastAsia="zh-CN" w:bidi="zh-CN"/>
              </w:rPr>
              <w:t>和搅拌</w:t>
            </w:r>
            <w:r>
              <w:rPr>
                <w:rFonts w:hint="eastAsia" w:ascii="Times New Roman" w:hAnsi="Times New Roman" w:eastAsia="宋体" w:cs="Times New Roman"/>
                <w:b w:val="0"/>
                <w:bCs w:val="0"/>
                <w:color w:val="auto"/>
                <w:sz w:val="24"/>
                <w:szCs w:val="24"/>
                <w:highlight w:val="none"/>
                <w:lang w:val="zh-CN" w:eastAsia="zh-CN" w:bidi="zh-CN"/>
              </w:rPr>
              <w:t>的过程中会产生粉尘，参照《</w:t>
            </w:r>
            <w:r>
              <w:rPr>
                <w:rFonts w:hint="eastAsia" w:cs="Times New Roman"/>
                <w:b w:val="0"/>
                <w:bCs w:val="0"/>
                <w:color w:val="auto"/>
                <w:sz w:val="24"/>
                <w:szCs w:val="24"/>
                <w:highlight w:val="none"/>
                <w:lang w:val="en-US" w:eastAsia="zh-CN" w:bidi="zh-CN"/>
              </w:rPr>
              <w:t>轻质建筑材料制品制造行业</w:t>
            </w:r>
            <w:r>
              <w:rPr>
                <w:rFonts w:hint="eastAsia" w:ascii="Times New Roman" w:hAnsi="Times New Roman" w:eastAsia="宋体" w:cs="Times New Roman"/>
                <w:b w:val="0"/>
                <w:bCs w:val="0"/>
                <w:color w:val="auto"/>
                <w:sz w:val="24"/>
                <w:szCs w:val="24"/>
                <w:highlight w:val="none"/>
                <w:lang w:val="zh-CN" w:eastAsia="zh-CN" w:bidi="zh-CN"/>
              </w:rPr>
              <w:t>系数手册》</w:t>
            </w:r>
            <w:r>
              <w:rPr>
                <w:rFonts w:hint="eastAsia" w:cs="Times New Roman"/>
                <w:b w:val="0"/>
                <w:bCs w:val="0"/>
                <w:color w:val="auto"/>
                <w:sz w:val="24"/>
                <w:szCs w:val="24"/>
                <w:highlight w:val="none"/>
                <w:lang w:val="zh-CN" w:eastAsia="zh-CN" w:bidi="zh-CN"/>
              </w:rPr>
              <w:t>，</w:t>
            </w:r>
            <w:r>
              <w:rPr>
                <w:rFonts w:hint="eastAsia" w:cs="Times New Roman"/>
                <w:b w:val="0"/>
                <w:bCs w:val="0"/>
                <w:color w:val="auto"/>
                <w:sz w:val="24"/>
                <w:szCs w:val="24"/>
                <w:highlight w:val="none"/>
                <w:lang w:val="en-US" w:eastAsia="zh-CN" w:bidi="zh-CN"/>
              </w:rPr>
              <w:t>上料搅拌过程中粉尘</w:t>
            </w:r>
            <w:r>
              <w:rPr>
                <w:rFonts w:hint="eastAsia" w:ascii="Times New Roman" w:hAnsi="Times New Roman" w:eastAsia="宋体" w:cs="Times New Roman"/>
                <w:b w:val="0"/>
                <w:bCs w:val="0"/>
                <w:color w:val="auto"/>
                <w:sz w:val="24"/>
                <w:szCs w:val="24"/>
                <w:highlight w:val="none"/>
                <w:lang w:val="zh-CN" w:eastAsia="zh-CN" w:bidi="zh-CN"/>
              </w:rPr>
              <w:t>产污系数</w:t>
            </w:r>
            <w:r>
              <w:rPr>
                <w:rFonts w:hint="eastAsia" w:ascii="Times New Roman" w:hAnsi="Times New Roman" w:eastAsia="宋体" w:cs="Times New Roman"/>
                <w:b w:val="0"/>
                <w:bCs w:val="0"/>
                <w:color w:val="auto"/>
                <w:sz w:val="24"/>
                <w:szCs w:val="24"/>
                <w:highlight w:val="none"/>
                <w:lang w:val="en-US" w:eastAsia="zh-CN" w:bidi="zh-CN"/>
              </w:rPr>
              <w:t>为</w:t>
            </w:r>
            <w:r>
              <w:rPr>
                <w:rFonts w:hint="eastAsia" w:ascii="Times New Roman" w:hAnsi="Times New Roman" w:eastAsia="宋体" w:cs="Times New Roman"/>
                <w:b w:val="0"/>
                <w:bCs w:val="0"/>
                <w:color w:val="auto"/>
                <w:sz w:val="24"/>
                <w:szCs w:val="24"/>
                <w:highlight w:val="none"/>
                <w:lang w:val="zh-CN" w:eastAsia="zh-CN" w:bidi="zh-CN"/>
              </w:rPr>
              <w:t>0.</w:t>
            </w:r>
            <w:r>
              <w:rPr>
                <w:rFonts w:hint="eastAsia" w:cs="Times New Roman"/>
                <w:b w:val="0"/>
                <w:bCs w:val="0"/>
                <w:color w:val="auto"/>
                <w:sz w:val="24"/>
                <w:szCs w:val="24"/>
                <w:highlight w:val="none"/>
                <w:lang w:val="en-US" w:eastAsia="zh-CN" w:bidi="zh-CN"/>
              </w:rPr>
              <w:t>325</w:t>
            </w:r>
            <w:r>
              <w:rPr>
                <w:rFonts w:hint="eastAsia" w:ascii="Times New Roman" w:hAnsi="Times New Roman" w:eastAsia="宋体" w:cs="Times New Roman"/>
                <w:b w:val="0"/>
                <w:bCs w:val="0"/>
                <w:color w:val="auto"/>
                <w:sz w:val="24"/>
                <w:szCs w:val="24"/>
                <w:highlight w:val="none"/>
                <w:lang w:val="zh-CN" w:eastAsia="zh-CN" w:bidi="zh-CN"/>
              </w:rPr>
              <w:t>kg/t·</w:t>
            </w:r>
            <w:r>
              <w:rPr>
                <w:rFonts w:hint="eastAsia" w:cs="Times New Roman"/>
                <w:b w:val="0"/>
                <w:bCs w:val="0"/>
                <w:color w:val="auto"/>
                <w:sz w:val="24"/>
                <w:szCs w:val="24"/>
                <w:highlight w:val="none"/>
                <w:lang w:val="en-US" w:eastAsia="zh-CN" w:bidi="zh-CN"/>
              </w:rPr>
              <w:t>产品</w:t>
            </w:r>
            <w:r>
              <w:rPr>
                <w:rFonts w:hint="eastAsia" w:ascii="Times New Roman" w:hAnsi="Times New Roman" w:eastAsia="宋体" w:cs="Times New Roman"/>
                <w:b w:val="0"/>
                <w:bCs w:val="0"/>
                <w:color w:val="auto"/>
                <w:sz w:val="24"/>
                <w:szCs w:val="24"/>
                <w:highlight w:val="none"/>
                <w:lang w:val="zh-CN" w:eastAsia="zh-CN" w:bidi="zh-CN"/>
              </w:rPr>
              <w:t>，项目</w:t>
            </w:r>
            <w:r>
              <w:rPr>
                <w:rFonts w:hint="eastAsia" w:cs="Times New Roman"/>
                <w:b w:val="0"/>
                <w:bCs w:val="0"/>
                <w:color w:val="auto"/>
                <w:sz w:val="24"/>
                <w:szCs w:val="24"/>
                <w:highlight w:val="none"/>
                <w:lang w:val="en-US" w:eastAsia="zh-CN" w:bidi="zh-CN"/>
              </w:rPr>
              <w:t>产品量17.5万</w:t>
            </w:r>
            <w:r>
              <w:rPr>
                <w:rFonts w:hint="eastAsia" w:ascii="Times New Roman" w:hAnsi="Times New Roman" w:eastAsia="宋体" w:cs="Times New Roman"/>
                <w:b w:val="0"/>
                <w:bCs w:val="0"/>
                <w:color w:val="auto"/>
                <w:sz w:val="24"/>
                <w:szCs w:val="24"/>
                <w:highlight w:val="none"/>
                <w:lang w:val="zh-CN" w:eastAsia="zh-CN" w:bidi="zh-CN"/>
              </w:rPr>
              <w:t>t/a，则粉尘产生量为</w:t>
            </w:r>
            <w:r>
              <w:rPr>
                <w:rFonts w:hint="eastAsia" w:cs="Times New Roman"/>
                <w:b w:val="0"/>
                <w:bCs w:val="0"/>
                <w:color w:val="auto"/>
                <w:sz w:val="24"/>
                <w:szCs w:val="24"/>
                <w:highlight w:val="none"/>
                <w:lang w:val="en-US" w:eastAsia="zh-CN" w:bidi="zh-CN"/>
              </w:rPr>
              <w:t>56.875</w:t>
            </w:r>
            <w:r>
              <w:rPr>
                <w:rFonts w:hint="eastAsia" w:ascii="Times New Roman" w:hAnsi="Times New Roman" w:eastAsia="宋体" w:cs="Times New Roman"/>
                <w:b w:val="0"/>
                <w:bCs w:val="0"/>
                <w:color w:val="auto"/>
                <w:sz w:val="24"/>
                <w:szCs w:val="24"/>
                <w:highlight w:val="none"/>
                <w:lang w:val="zh-CN" w:eastAsia="zh-CN" w:bidi="zh-CN"/>
              </w:rPr>
              <w:t>t/a。</w:t>
            </w:r>
          </w:p>
          <w:p>
            <w:pPr>
              <w:keepNext w:val="0"/>
              <w:keepLines w:val="0"/>
              <w:pageBreakBefore w:val="0"/>
              <w:widowControl w:val="0"/>
              <w:tabs>
                <w:tab w:val="left" w:pos="108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上料</w:t>
            </w:r>
            <w:r>
              <w:rPr>
                <w:rFonts w:hint="default" w:ascii="Times New Roman" w:hAnsi="Times New Roman" w:cs="Times New Roman"/>
                <w:color w:val="auto"/>
                <w:sz w:val="24"/>
                <w:highlight w:val="none"/>
                <w:lang w:eastAsia="zh-CN"/>
              </w:rPr>
              <w:t>口</w:t>
            </w:r>
            <w:r>
              <w:rPr>
                <w:rFonts w:hint="eastAsia" w:ascii="Times New Roman" w:hAnsi="Times New Roman" w:cs="Times New Roman"/>
                <w:color w:val="auto"/>
                <w:sz w:val="24"/>
                <w:highlight w:val="none"/>
                <w:lang w:val="en-US" w:eastAsia="zh-CN"/>
              </w:rPr>
              <w:t>及搅拌机</w:t>
            </w:r>
            <w:r>
              <w:rPr>
                <w:rFonts w:hint="default" w:ascii="Times New Roman" w:hAnsi="Times New Roman" w:cs="Times New Roman"/>
                <w:color w:val="auto"/>
                <w:sz w:val="24"/>
                <w:highlight w:val="none"/>
                <w:lang w:eastAsia="zh-CN"/>
              </w:rPr>
              <w:t>上方</w:t>
            </w:r>
            <w:r>
              <w:rPr>
                <w:rFonts w:hint="eastAsia" w:cs="Times New Roman"/>
                <w:color w:val="auto"/>
                <w:sz w:val="24"/>
                <w:highlight w:val="none"/>
                <w:lang w:val="en-US" w:eastAsia="zh-CN"/>
              </w:rPr>
              <w:t>分别</w:t>
            </w:r>
            <w:r>
              <w:rPr>
                <w:rFonts w:hint="default" w:ascii="Times New Roman" w:hAnsi="Times New Roman" w:cs="Times New Roman"/>
                <w:color w:val="auto"/>
                <w:sz w:val="24"/>
                <w:highlight w:val="none"/>
                <w:lang w:eastAsia="zh-CN"/>
              </w:rPr>
              <w:t>设集气罩，</w:t>
            </w:r>
            <w:r>
              <w:rPr>
                <w:rFonts w:hint="eastAsia" w:cs="Times New Roman"/>
                <w:color w:val="auto"/>
                <w:sz w:val="24"/>
                <w:highlight w:val="none"/>
                <w:lang w:val="en-US" w:eastAsia="zh-CN"/>
              </w:rPr>
              <w:t>上料口集气罩尺寸为1.0m×1.0m，搅拌机集气罩尺寸为2.0</w:t>
            </w:r>
            <w:r>
              <w:rPr>
                <w:rFonts w:hint="default" w:ascii="Times New Roman" w:hAnsi="Times New Roman" w:cs="Times New Roman"/>
                <w:color w:val="auto"/>
                <w:sz w:val="24"/>
                <w:highlight w:val="none"/>
              </w:rPr>
              <w:t>m×</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rPr>
              <w:t>m，</w:t>
            </w:r>
            <w:r>
              <w:rPr>
                <w:rFonts w:hint="eastAsia" w:cs="Times New Roman"/>
                <w:color w:val="auto"/>
                <w:sz w:val="24"/>
                <w:highlight w:val="none"/>
                <w:lang w:val="en-US" w:eastAsia="zh-CN"/>
              </w:rPr>
              <w:t>总集气面积5m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集气罩平均吸气速度选择1.</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m/s，泄露安全系数取1.</w:t>
            </w:r>
            <w:r>
              <w:rPr>
                <w:rFonts w:hint="eastAsia" w:cs="Times New Roman"/>
                <w:color w:val="auto"/>
                <w:sz w:val="24"/>
                <w:highlight w:val="none"/>
                <w:lang w:val="en-US" w:eastAsia="zh-CN"/>
              </w:rPr>
              <w:t>05</w:t>
            </w:r>
            <w:r>
              <w:rPr>
                <w:rFonts w:hint="default" w:ascii="Times New Roman" w:hAnsi="Times New Roman" w:cs="Times New Roman"/>
                <w:color w:val="auto"/>
                <w:sz w:val="24"/>
                <w:highlight w:val="none"/>
              </w:rPr>
              <w:t>，计算集气罩排风量</w:t>
            </w:r>
            <w:r>
              <w:rPr>
                <w:rFonts w:hint="eastAsia" w:ascii="Times New Roman" w:hAnsi="Times New Roman" w:cs="Times New Roman"/>
                <w:color w:val="auto"/>
                <w:sz w:val="24"/>
                <w:highlight w:val="none"/>
                <w:lang w:val="en-US" w:eastAsia="zh-CN"/>
              </w:rPr>
              <w:t>18900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/h，本项目</w:t>
            </w:r>
            <w:r>
              <w:rPr>
                <w:rFonts w:hint="eastAsia" w:cs="Times New Roman"/>
                <w:color w:val="auto"/>
                <w:sz w:val="24"/>
                <w:highlight w:val="none"/>
                <w:lang w:eastAsia="zh-CN"/>
              </w:rPr>
              <w:t>上</w:t>
            </w:r>
            <w:r>
              <w:rPr>
                <w:rFonts w:hint="default" w:ascii="Times New Roman" w:hAnsi="Times New Roman" w:cs="Times New Roman"/>
                <w:color w:val="auto"/>
                <w:sz w:val="24"/>
                <w:highlight w:val="none"/>
              </w:rPr>
              <w:t>设计风量</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rPr>
              <w:t>000m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/h，能够满足集气要求，集气罩集气效率9</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w:t>
            </w:r>
          </w:p>
          <w:p>
            <w:pPr>
              <w:keepNext w:val="0"/>
              <w:keepLines w:val="0"/>
              <w:pageBreakBefore w:val="0"/>
              <w:widowControl w:val="0"/>
              <w:tabs>
                <w:tab w:val="left" w:pos="108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eastAsia="zh-CN"/>
              </w:rPr>
              <w:t>粉尘经管道收集后</w:t>
            </w:r>
            <w:r>
              <w:rPr>
                <w:rFonts w:hint="eastAsia" w:ascii="Times New Roman" w:hAnsi="Times New Roman" w:cs="Times New Roman"/>
                <w:color w:val="auto"/>
                <w:sz w:val="24"/>
                <w:highlight w:val="none"/>
                <w:lang w:val="en-US" w:eastAsia="zh-CN"/>
              </w:rPr>
              <w:t>连接至</w:t>
            </w:r>
            <w:r>
              <w:rPr>
                <w:rFonts w:hint="default" w:ascii="Times New Roman" w:hAnsi="Times New Roman" w:cs="Times New Roman"/>
                <w:color w:val="auto"/>
                <w:sz w:val="24"/>
                <w:highlight w:val="none"/>
                <w:lang w:val="en-US" w:eastAsia="zh-CN"/>
              </w:rPr>
              <w:t>1套布袋</w:t>
            </w:r>
            <w:r>
              <w:rPr>
                <w:rFonts w:hint="default" w:ascii="Times New Roman" w:hAnsi="Times New Roman" w:cs="Times New Roman"/>
                <w:color w:val="auto"/>
                <w:sz w:val="24"/>
                <w:highlight w:val="none"/>
                <w:lang w:eastAsia="zh-CN"/>
              </w:rPr>
              <w:t>除尘器，</w:t>
            </w:r>
            <w:r>
              <w:rPr>
                <w:rFonts w:hint="default" w:ascii="Times New Roman" w:hAnsi="Times New Roman" w:cs="Times New Roman"/>
                <w:color w:val="auto"/>
                <w:sz w:val="24"/>
                <w:highlight w:val="none"/>
              </w:rPr>
              <w:t>滤袋面积</w:t>
            </w:r>
            <w:r>
              <w:rPr>
                <w:rFonts w:hint="eastAsia" w:cs="Times New Roman"/>
                <w:color w:val="auto"/>
                <w:sz w:val="24"/>
                <w:highlight w:val="none"/>
                <w:lang w:val="en-US" w:eastAsia="zh-CN"/>
              </w:rPr>
              <w:t>500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，过滤风速0.</w:t>
            </w:r>
            <w:r>
              <w:rPr>
                <w:rFonts w:hint="default" w:ascii="Times New Roman" w:hAnsi="Times New Roman" w:cs="Times New Roman"/>
                <w:color w:val="auto"/>
                <w:sz w:val="24"/>
                <w:highlight w:val="none"/>
                <w:lang w:val="en-US" w:eastAsia="zh-CN"/>
              </w:rPr>
              <w:t>6</w:t>
            </w:r>
            <w:r>
              <w:rPr>
                <w:rFonts w:hint="eastAsia"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m/min，</w:t>
            </w:r>
            <w:r>
              <w:rPr>
                <w:rFonts w:hint="default" w:ascii="Times New Roman" w:hAnsi="Times New Roman" w:cs="Times New Roman"/>
                <w:color w:val="auto"/>
                <w:sz w:val="24"/>
                <w:highlight w:val="none"/>
                <w:lang w:eastAsia="zh-CN"/>
              </w:rPr>
              <w:t>滤袋材质为覆膜滤袋，</w:t>
            </w:r>
            <w:r>
              <w:rPr>
                <w:rFonts w:hint="default" w:ascii="Times New Roman" w:hAnsi="Times New Roman" w:cs="Times New Roman"/>
                <w:color w:val="auto"/>
                <w:sz w:val="24"/>
                <w:highlight w:val="none"/>
              </w:rPr>
              <w:t>除尘效率99%以上</w:t>
            </w:r>
            <w:r>
              <w:rPr>
                <w:rFonts w:hint="default" w:ascii="Times New Roman" w:hAnsi="Times New Roman" w:cs="Times New Roman"/>
                <w:color w:val="auto"/>
                <w:sz w:val="24"/>
                <w:highlight w:val="none"/>
                <w:lang w:eastAsia="zh-CN"/>
              </w:rPr>
              <w:t>，经处理后由</w:t>
            </w:r>
            <w:r>
              <w:rPr>
                <w:rFonts w:hint="default" w:ascii="Times New Roman" w:hAnsi="Times New Roman" w:cs="Times New Roman"/>
                <w:color w:val="auto"/>
                <w:spacing w:val="6"/>
                <w:kern w:val="0"/>
                <w:sz w:val="24"/>
                <w:highlight w:val="none"/>
              </w:rPr>
              <w:t>15m高的排气筒排出</w:t>
            </w:r>
            <w:r>
              <w:rPr>
                <w:rFonts w:hint="default" w:ascii="Times New Roman" w:hAnsi="Times New Roman" w:cs="Times New Roman"/>
                <w:color w:val="auto"/>
                <w:spacing w:val="6"/>
                <w:kern w:val="0"/>
                <w:sz w:val="24"/>
                <w:highlight w:val="none"/>
                <w:lang w:eastAsia="zh-CN"/>
              </w:rPr>
              <w:t>。采取上述措施后，粉尘浓度控制</w:t>
            </w:r>
            <w:r>
              <w:rPr>
                <w:rFonts w:hint="default" w:ascii="Times New Roman" w:hAnsi="Times New Roman" w:cs="Times New Roman"/>
                <w:color w:val="auto"/>
                <w:spacing w:val="6"/>
                <w:kern w:val="0"/>
                <w:sz w:val="24"/>
                <w:highlight w:val="none"/>
                <w:lang w:val="en-US" w:eastAsia="zh-CN"/>
              </w:rPr>
              <w:t>10mg/m</w:t>
            </w:r>
            <w:r>
              <w:rPr>
                <w:rFonts w:hint="default" w:ascii="Times New Roman" w:hAnsi="Times New Roman" w:cs="Times New Roman"/>
                <w:color w:val="auto"/>
                <w:spacing w:val="6"/>
                <w:kern w:val="0"/>
                <w:sz w:val="24"/>
                <w:highlight w:val="none"/>
                <w:vertAlign w:val="superscript"/>
                <w:lang w:val="en-US" w:eastAsia="zh-CN"/>
              </w:rPr>
              <w:t>3</w:t>
            </w:r>
            <w:r>
              <w:rPr>
                <w:rFonts w:hint="default" w:ascii="Times New Roman" w:hAnsi="Times New Roman" w:cs="Times New Roman"/>
                <w:color w:val="auto"/>
                <w:spacing w:val="6"/>
                <w:kern w:val="0"/>
                <w:sz w:val="24"/>
                <w:highlight w:val="none"/>
                <w:lang w:val="en-US" w:eastAsia="zh-CN"/>
              </w:rPr>
              <w:t>，</w:t>
            </w:r>
            <w:r>
              <w:rPr>
                <w:rFonts w:hint="eastAsia" w:ascii="Times New Roman" w:hAnsi="Times New Roman" w:cs="Times New Roman"/>
                <w:color w:val="auto"/>
                <w:spacing w:val="6"/>
                <w:kern w:val="0"/>
                <w:sz w:val="24"/>
                <w:highlight w:val="none"/>
                <w:lang w:val="en-US" w:eastAsia="zh-CN"/>
              </w:rPr>
              <w:t>年运行时间按2400h，</w:t>
            </w:r>
            <w:r>
              <w:rPr>
                <w:rFonts w:hint="default" w:ascii="Times New Roman" w:hAnsi="Times New Roman" w:cs="Times New Roman"/>
                <w:color w:val="auto"/>
                <w:spacing w:val="6"/>
                <w:kern w:val="0"/>
                <w:sz w:val="24"/>
                <w:highlight w:val="none"/>
                <w:lang w:eastAsia="zh-CN"/>
              </w:rPr>
              <w:t>则有组织排放量为</w:t>
            </w:r>
            <w:r>
              <w:rPr>
                <w:rFonts w:hint="eastAsia" w:cs="Times New Roman"/>
                <w:b/>
                <w:bCs/>
                <w:color w:val="auto"/>
                <w:spacing w:val="6"/>
                <w:kern w:val="0"/>
                <w:sz w:val="24"/>
                <w:highlight w:val="none"/>
                <w:lang w:val="en-US" w:eastAsia="zh-CN"/>
              </w:rPr>
              <w:t>20</w:t>
            </w:r>
            <w:r>
              <w:rPr>
                <w:rFonts w:hint="eastAsia" w:ascii="Times New Roman" w:hAnsi="Times New Roman" w:cs="Times New Roman"/>
                <w:b/>
                <w:bCs/>
                <w:color w:val="auto"/>
                <w:spacing w:val="6"/>
                <w:kern w:val="0"/>
                <w:sz w:val="24"/>
                <w:highlight w:val="none"/>
                <w:lang w:val="en-US" w:eastAsia="zh-CN"/>
              </w:rPr>
              <w:t>000m</w:t>
            </w:r>
            <w:r>
              <w:rPr>
                <w:rFonts w:hint="eastAsia" w:ascii="Times New Roman" w:hAnsi="Times New Roman" w:cs="Times New Roman"/>
                <w:b/>
                <w:bCs/>
                <w:color w:val="auto"/>
                <w:spacing w:val="6"/>
                <w:kern w:val="0"/>
                <w:sz w:val="24"/>
                <w:highlight w:val="none"/>
                <w:vertAlign w:val="superscript"/>
                <w:lang w:val="en-US" w:eastAsia="zh-CN"/>
              </w:rPr>
              <w:t>3</w:t>
            </w:r>
            <w:r>
              <w:rPr>
                <w:rFonts w:hint="eastAsia" w:ascii="Times New Roman" w:hAnsi="Times New Roman" w:cs="Times New Roman"/>
                <w:b/>
                <w:bCs/>
                <w:color w:val="auto"/>
                <w:spacing w:val="6"/>
                <w:kern w:val="0"/>
                <w:sz w:val="24"/>
                <w:highlight w:val="none"/>
                <w:lang w:val="en-US" w:eastAsia="zh-CN"/>
              </w:rPr>
              <w:t>/h×2400h×10mg/m</w:t>
            </w:r>
            <w:r>
              <w:rPr>
                <w:rFonts w:hint="eastAsia" w:ascii="Times New Roman" w:hAnsi="Times New Roman" w:cs="Times New Roman"/>
                <w:b/>
                <w:bCs/>
                <w:color w:val="auto"/>
                <w:spacing w:val="6"/>
                <w:kern w:val="0"/>
                <w:sz w:val="24"/>
                <w:highlight w:val="none"/>
                <w:vertAlign w:val="superscript"/>
                <w:lang w:val="en-US" w:eastAsia="zh-CN"/>
              </w:rPr>
              <w:t>3</w:t>
            </w:r>
            <w:r>
              <w:rPr>
                <w:rFonts w:hint="eastAsia" w:ascii="Times New Roman" w:hAnsi="Times New Roman" w:cs="Times New Roman"/>
                <w:b/>
                <w:bCs/>
                <w:color w:val="auto"/>
                <w:spacing w:val="6"/>
                <w:kern w:val="0"/>
                <w:sz w:val="24"/>
                <w:highlight w:val="none"/>
                <w:lang w:val="en-US" w:eastAsia="zh-CN"/>
              </w:rPr>
              <w:t>×10</w:t>
            </w:r>
            <w:r>
              <w:rPr>
                <w:rFonts w:hint="eastAsia" w:ascii="Times New Roman" w:hAnsi="Times New Roman" w:cs="Times New Roman"/>
                <w:b/>
                <w:bCs/>
                <w:color w:val="auto"/>
                <w:spacing w:val="6"/>
                <w:kern w:val="0"/>
                <w:sz w:val="24"/>
                <w:highlight w:val="none"/>
                <w:vertAlign w:val="superscript"/>
                <w:lang w:val="en-US" w:eastAsia="zh-CN"/>
              </w:rPr>
              <w:t>-9</w:t>
            </w:r>
            <w:r>
              <w:rPr>
                <w:rFonts w:hint="eastAsia" w:ascii="Times New Roman" w:hAnsi="Times New Roman" w:cs="Times New Roman"/>
                <w:b/>
                <w:bCs/>
                <w:color w:val="auto"/>
                <w:spacing w:val="6"/>
                <w:kern w:val="0"/>
                <w:sz w:val="24"/>
                <w:highlight w:val="none"/>
                <w:lang w:val="en-US" w:eastAsia="zh-CN"/>
              </w:rPr>
              <w:t>=</w:t>
            </w:r>
            <w:r>
              <w:rPr>
                <w:rFonts w:hint="default" w:ascii="Times New Roman" w:hAnsi="Times New Roman" w:cs="Times New Roman"/>
                <w:b/>
                <w:bCs/>
                <w:color w:val="auto"/>
                <w:spacing w:val="6"/>
                <w:kern w:val="0"/>
                <w:sz w:val="24"/>
                <w:highlight w:val="none"/>
                <w:lang w:val="en-US" w:eastAsia="zh-CN"/>
              </w:rPr>
              <w:t>0.</w:t>
            </w:r>
            <w:r>
              <w:rPr>
                <w:rFonts w:hint="eastAsia" w:cs="Times New Roman"/>
                <w:b/>
                <w:bCs/>
                <w:color w:val="auto"/>
                <w:spacing w:val="6"/>
                <w:kern w:val="0"/>
                <w:sz w:val="24"/>
                <w:highlight w:val="none"/>
                <w:lang w:val="en-US" w:eastAsia="zh-CN"/>
              </w:rPr>
              <w:t>48</w:t>
            </w:r>
            <w:r>
              <w:rPr>
                <w:rFonts w:hint="default" w:ascii="Times New Roman" w:hAnsi="Times New Roman" w:cs="Times New Roman"/>
                <w:b/>
                <w:bCs/>
                <w:color w:val="auto"/>
                <w:spacing w:val="6"/>
                <w:kern w:val="0"/>
                <w:sz w:val="24"/>
                <w:highlight w:val="none"/>
                <w:lang w:val="en-US" w:eastAsia="zh-CN"/>
              </w:rPr>
              <w:t>t/a。</w:t>
            </w:r>
          </w:p>
          <w:p>
            <w:pPr>
              <w:adjustRightInd w:val="0"/>
              <w:snapToGrid w:val="0"/>
              <w:spacing w:line="360" w:lineRule="auto"/>
              <w:ind w:firstLine="504" w:firstLineChars="200"/>
              <w:textAlignment w:val="baseline"/>
              <w:rPr>
                <w:rFonts w:hint="default" w:ascii="Times New Roman" w:hAnsi="Times New Roman" w:cs="Times New Roman"/>
                <w:b/>
                <w:bCs/>
                <w:color w:val="auto"/>
                <w:sz w:val="24"/>
                <w:szCs w:val="24"/>
                <w:highlight w:val="none"/>
              </w:rPr>
            </w:pPr>
            <w:r>
              <w:rPr>
                <w:rFonts w:hint="default" w:ascii="Times New Roman" w:hAnsi="Times New Roman" w:cs="Times New Roman"/>
                <w:color w:val="auto"/>
                <w:spacing w:val="6"/>
                <w:kern w:val="0"/>
                <w:sz w:val="24"/>
                <w:highlight w:val="none"/>
              </w:rPr>
              <w:t>未收集到的为无组织排放，则</w:t>
            </w:r>
            <w:r>
              <w:rPr>
                <w:rFonts w:hint="default" w:ascii="Times New Roman" w:hAnsi="Times New Roman" w:cs="Times New Roman"/>
                <w:color w:val="auto"/>
                <w:sz w:val="24"/>
                <w:highlight w:val="none"/>
              </w:rPr>
              <w:t>无组织粉尘产生量=</w:t>
            </w:r>
            <w:r>
              <w:rPr>
                <w:rFonts w:hint="eastAsia" w:cs="Times New Roman"/>
                <w:color w:val="auto"/>
                <w:sz w:val="24"/>
                <w:highlight w:val="none"/>
                <w:lang w:val="en-US" w:eastAsia="zh-CN"/>
              </w:rPr>
              <w:t>56.875</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5.6875</w:t>
            </w:r>
            <w:r>
              <w:rPr>
                <w:rFonts w:hint="default" w:ascii="Times New Roman" w:hAnsi="Times New Roman" w:cs="Times New Roman"/>
                <w:color w:val="auto"/>
                <w:sz w:val="24"/>
                <w:highlight w:val="none"/>
              </w:rPr>
              <w:t>t/a</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pacing w:val="6"/>
                <w:kern w:val="0"/>
                <w:sz w:val="24"/>
                <w:highlight w:val="none"/>
              </w:rPr>
              <w:t>经自然沉降、</w:t>
            </w:r>
            <w:r>
              <w:rPr>
                <w:rFonts w:hint="default" w:ascii="Times New Roman" w:hAnsi="Times New Roman" w:cs="Times New Roman"/>
                <w:color w:val="auto"/>
                <w:spacing w:val="6"/>
                <w:kern w:val="0"/>
                <w:sz w:val="24"/>
                <w:highlight w:val="none"/>
                <w:lang w:eastAsia="zh-CN"/>
              </w:rPr>
              <w:t>全封闭</w:t>
            </w:r>
            <w:r>
              <w:rPr>
                <w:rFonts w:hint="default" w:ascii="Times New Roman" w:hAnsi="Times New Roman" w:cs="Times New Roman"/>
                <w:color w:val="auto"/>
                <w:spacing w:val="6"/>
                <w:kern w:val="0"/>
                <w:sz w:val="24"/>
                <w:highlight w:val="none"/>
              </w:rPr>
              <w:t>厂房阻挡后，抑尘效率达95%，则无组织排放量为</w:t>
            </w:r>
            <w:r>
              <w:rPr>
                <w:rFonts w:hint="eastAsia" w:cs="Times New Roman"/>
                <w:b/>
                <w:bCs/>
                <w:color w:val="auto"/>
                <w:spacing w:val="6"/>
                <w:kern w:val="0"/>
                <w:sz w:val="24"/>
                <w:highlight w:val="none"/>
                <w:lang w:val="en-US" w:eastAsia="zh-CN"/>
              </w:rPr>
              <w:t>5.6875</w:t>
            </w:r>
            <w:r>
              <w:rPr>
                <w:rFonts w:hint="eastAsia" w:ascii="Times New Roman" w:hAnsi="Times New Roman" w:cs="Times New Roman"/>
                <w:b/>
                <w:bCs/>
                <w:color w:val="auto"/>
                <w:spacing w:val="6"/>
                <w:kern w:val="0"/>
                <w:sz w:val="24"/>
                <w:highlight w:val="none"/>
                <w:lang w:val="en-US" w:eastAsia="zh-CN"/>
              </w:rPr>
              <w:t>t/a×（1-95%）=</w:t>
            </w:r>
            <w:r>
              <w:rPr>
                <w:rFonts w:hint="default" w:ascii="Times New Roman" w:hAnsi="Times New Roman" w:cs="Times New Roman"/>
                <w:b/>
                <w:bCs/>
                <w:color w:val="auto"/>
                <w:spacing w:val="6"/>
                <w:kern w:val="0"/>
                <w:sz w:val="24"/>
                <w:highlight w:val="none"/>
              </w:rPr>
              <w:t>0.</w:t>
            </w:r>
            <w:r>
              <w:rPr>
                <w:rFonts w:hint="eastAsia" w:cs="Times New Roman"/>
                <w:b/>
                <w:bCs/>
                <w:color w:val="auto"/>
                <w:spacing w:val="6"/>
                <w:kern w:val="0"/>
                <w:sz w:val="24"/>
                <w:highlight w:val="none"/>
                <w:lang w:val="en-US" w:eastAsia="zh-CN"/>
              </w:rPr>
              <w:t>3</w:t>
            </w:r>
            <w:r>
              <w:rPr>
                <w:rFonts w:hint="default" w:ascii="Times New Roman" w:hAnsi="Times New Roman" w:cs="Times New Roman"/>
                <w:b/>
                <w:bCs/>
                <w:color w:val="auto"/>
                <w:spacing w:val="6"/>
                <w:kern w:val="0"/>
                <w:sz w:val="24"/>
                <w:highlight w:val="none"/>
              </w:rPr>
              <w:t>t/a。</w:t>
            </w:r>
          </w:p>
          <w:p>
            <w:pPr>
              <w:pStyle w:val="23"/>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②转运粉尘：项目生产过程中物料转运</w:t>
            </w:r>
            <w:r>
              <w:rPr>
                <w:rFonts w:hint="eastAsia" w:ascii="Times New Roman" w:cs="Times New Roman"/>
                <w:color w:val="auto"/>
                <w:highlight w:val="none"/>
                <w:lang w:val="en-US" w:eastAsia="zh-CN"/>
              </w:rPr>
              <w:t>采用</w:t>
            </w:r>
            <w:r>
              <w:rPr>
                <w:rFonts w:hint="eastAsia" w:ascii="Times New Roman" w:hAnsi="Times New Roman" w:cs="Times New Roman"/>
                <w:color w:val="auto"/>
                <w:highlight w:val="none"/>
                <w:lang w:val="en-US" w:eastAsia="zh-CN"/>
              </w:rPr>
              <w:t>气力输送</w:t>
            </w:r>
            <w:r>
              <w:rPr>
                <w:rFonts w:hint="default" w:ascii="Times New Roman" w:hAnsi="Times New Roman" w:cs="Times New Roman"/>
                <w:color w:val="auto"/>
                <w:highlight w:val="none"/>
              </w:rPr>
              <w:t>，同时对受料口、落料口</w:t>
            </w:r>
            <w:r>
              <w:rPr>
                <w:rFonts w:hint="eastAsia" w:ascii="Times New Roman" w:cs="Times New Roman"/>
                <w:color w:val="auto"/>
                <w:highlight w:val="none"/>
                <w:lang w:val="en-US" w:eastAsia="zh-CN"/>
              </w:rPr>
              <w:t>以及除尘器出灰口</w:t>
            </w:r>
            <w:r>
              <w:rPr>
                <w:rFonts w:hint="default" w:ascii="Times New Roman" w:hAnsi="Times New Roman" w:cs="Times New Roman"/>
                <w:color w:val="auto"/>
                <w:highlight w:val="none"/>
              </w:rPr>
              <w:t>采取封闭措施，可有效地抑制粉尘产生。该环节产尘量很小，本次评价对此部分产尘量忽略不计。</w:t>
            </w:r>
          </w:p>
          <w:p>
            <w:pPr>
              <w:pStyle w:val="23"/>
              <w:snapToGrid w:val="0"/>
              <w:spacing w:line="360" w:lineRule="auto"/>
              <w:ind w:firstLine="482" w:firstLineChars="200"/>
              <w:jc w:val="both"/>
              <w:rPr>
                <w:rFonts w:hint="default" w:ascii="Times New Roman" w:hAnsi="Times New Roman" w:eastAsia="宋体" w:cs="Times New Roman"/>
                <w:b/>
                <w:bCs w:val="0"/>
                <w:color w:val="auto"/>
                <w:spacing w:val="0"/>
                <w:highlight w:val="none"/>
                <w:lang w:val="en-US" w:eastAsia="zh-CN"/>
              </w:rPr>
            </w:pPr>
            <w:r>
              <w:rPr>
                <w:rFonts w:hint="default" w:ascii="Times New Roman" w:hAnsi="Times New Roman" w:cs="Times New Roman"/>
                <w:b/>
                <w:color w:val="auto"/>
                <w:highlight w:val="none"/>
              </w:rPr>
              <w:t>1.2污染防治措施</w:t>
            </w:r>
          </w:p>
          <w:p>
            <w:pPr>
              <w:pStyle w:val="23"/>
              <w:snapToGrid w:val="0"/>
              <w:spacing w:line="360" w:lineRule="auto"/>
              <w:ind w:firstLine="480" w:firstLineChars="200"/>
              <w:jc w:val="both"/>
              <w:rPr>
                <w:rFonts w:hint="default" w:ascii="Times New Roman" w:hAnsi="Times New Roman" w:cs="Times New Roman"/>
                <w:bCs/>
                <w:color w:val="auto"/>
                <w:spacing w:val="0"/>
                <w:highlight w:val="none"/>
              </w:rPr>
            </w:pPr>
            <w:r>
              <w:rPr>
                <w:rFonts w:hint="default" w:ascii="Times New Roman" w:hAnsi="Times New Roman" w:cs="Times New Roman"/>
                <w:bCs/>
                <w:color w:val="auto"/>
                <w:spacing w:val="0"/>
                <w:highlight w:val="none"/>
              </w:rPr>
              <w:t>（1）运输扬尘：</w:t>
            </w:r>
            <w:r>
              <w:rPr>
                <w:rFonts w:hint="default" w:ascii="Times New Roman" w:hAnsi="Times New Roman" w:cs="Times New Roman"/>
                <w:color w:val="auto"/>
                <w:spacing w:val="0"/>
                <w:highlight w:val="none"/>
              </w:rPr>
              <w:t>厂区地面全部硬化，运输车辆采用</w:t>
            </w:r>
            <w:r>
              <w:rPr>
                <w:rFonts w:hint="eastAsia" w:ascii="Times New Roman" w:cs="Times New Roman"/>
                <w:color w:val="auto"/>
                <w:spacing w:val="0"/>
                <w:highlight w:val="none"/>
                <w:lang w:val="en-US" w:eastAsia="zh-CN"/>
              </w:rPr>
              <w:t>厢式车辆</w:t>
            </w:r>
            <w:r>
              <w:rPr>
                <w:rFonts w:hint="default" w:ascii="Times New Roman" w:hAnsi="Times New Roman" w:cs="Times New Roman"/>
                <w:bCs/>
                <w:color w:val="auto"/>
                <w:spacing w:val="0"/>
                <w:highlight w:val="none"/>
              </w:rPr>
              <w:t>，</w:t>
            </w:r>
            <w:r>
              <w:rPr>
                <w:rFonts w:hint="default" w:ascii="Times New Roman" w:hAnsi="Times New Roman" w:cs="Times New Roman"/>
                <w:color w:val="auto"/>
                <w:spacing w:val="0"/>
                <w:highlight w:val="none"/>
              </w:rPr>
              <w:t>运输道路设置专人定期洒水、清扫，出入口设置轮胎清洗平台等，抑尘效率70%以上；</w:t>
            </w:r>
          </w:p>
          <w:p>
            <w:pPr>
              <w:adjustRightInd w:val="0"/>
              <w:snapToGrid w:val="0"/>
              <w:spacing w:line="360" w:lineRule="auto"/>
              <w:ind w:firstLine="480" w:firstLineChars="200"/>
              <w:rPr>
                <w:rFonts w:hint="default" w:ascii="Times New Roman" w:hAnsi="Times New Roman" w:cs="Times New Roman"/>
                <w:color w:val="auto"/>
                <w:spacing w:val="0"/>
                <w:sz w:val="24"/>
                <w:highlight w:val="none"/>
                <w:lang w:val="en-US" w:eastAsia="zh-CN"/>
              </w:rPr>
            </w:pPr>
            <w:r>
              <w:rPr>
                <w:rFonts w:hint="default" w:ascii="Times New Roman" w:hAnsi="Times New Roman" w:cs="Times New Roman"/>
                <w:bCs/>
                <w:color w:val="auto"/>
                <w:spacing w:val="0"/>
                <w:sz w:val="24"/>
                <w:highlight w:val="none"/>
              </w:rPr>
              <w:t>（</w:t>
            </w:r>
            <w:r>
              <w:rPr>
                <w:rFonts w:hint="eastAsia" w:cs="Times New Roman"/>
                <w:bCs/>
                <w:color w:val="auto"/>
                <w:spacing w:val="0"/>
                <w:sz w:val="24"/>
                <w:highlight w:val="none"/>
                <w:lang w:val="en-US" w:eastAsia="zh-CN"/>
              </w:rPr>
              <w:t>2</w:t>
            </w:r>
            <w:r>
              <w:rPr>
                <w:rFonts w:hint="default" w:ascii="Times New Roman" w:hAnsi="Times New Roman" w:cs="Times New Roman"/>
                <w:bCs/>
                <w:color w:val="auto"/>
                <w:spacing w:val="0"/>
                <w:sz w:val="24"/>
                <w:highlight w:val="none"/>
              </w:rPr>
              <w:t>）上料</w:t>
            </w:r>
            <w:r>
              <w:rPr>
                <w:rFonts w:hint="eastAsia" w:cs="Times New Roman"/>
                <w:bCs/>
                <w:color w:val="auto"/>
                <w:spacing w:val="0"/>
                <w:sz w:val="24"/>
                <w:highlight w:val="none"/>
                <w:lang w:val="en-US" w:eastAsia="zh-CN"/>
              </w:rPr>
              <w:t>搅拌</w:t>
            </w:r>
            <w:r>
              <w:rPr>
                <w:rFonts w:hint="default" w:ascii="Times New Roman" w:hAnsi="Times New Roman" w:cs="Times New Roman"/>
                <w:bCs/>
                <w:color w:val="auto"/>
                <w:spacing w:val="0"/>
                <w:sz w:val="24"/>
                <w:highlight w:val="none"/>
              </w:rPr>
              <w:t>粉尘：</w:t>
            </w:r>
            <w:r>
              <w:rPr>
                <w:rFonts w:hint="default" w:ascii="Times New Roman" w:hAnsi="Times New Roman" w:cs="Times New Roman"/>
                <w:bCs/>
                <w:color w:val="auto"/>
                <w:spacing w:val="0"/>
                <w:sz w:val="24"/>
                <w:szCs w:val="24"/>
                <w:highlight w:val="none"/>
                <w:lang w:eastAsia="zh-CN"/>
              </w:rPr>
              <w:t>上料口</w:t>
            </w:r>
            <w:r>
              <w:rPr>
                <w:rFonts w:hint="eastAsia" w:cs="Times New Roman"/>
                <w:color w:val="auto"/>
                <w:spacing w:val="0"/>
                <w:sz w:val="24"/>
                <w:highlight w:val="none"/>
                <w:lang w:val="en-US" w:eastAsia="zh-CN"/>
              </w:rPr>
              <w:t>及搅拌机上方</w:t>
            </w:r>
            <w:r>
              <w:rPr>
                <w:rFonts w:hint="default" w:ascii="Times New Roman" w:hAnsi="Times New Roman" w:cs="Times New Roman"/>
                <w:color w:val="auto"/>
                <w:spacing w:val="0"/>
                <w:sz w:val="24"/>
                <w:highlight w:val="none"/>
              </w:rPr>
              <w:t>设</w:t>
            </w:r>
            <w:r>
              <w:rPr>
                <w:rFonts w:hint="eastAsia" w:cs="Times New Roman"/>
                <w:color w:val="auto"/>
                <w:spacing w:val="0"/>
                <w:sz w:val="24"/>
                <w:highlight w:val="none"/>
                <w:lang w:val="en-US" w:eastAsia="zh-CN"/>
              </w:rPr>
              <w:t>分别设</w:t>
            </w:r>
            <w:r>
              <w:rPr>
                <w:rFonts w:hint="default" w:ascii="Times New Roman" w:hAnsi="Times New Roman" w:cs="Times New Roman"/>
                <w:color w:val="auto"/>
                <w:spacing w:val="0"/>
                <w:sz w:val="24"/>
                <w:highlight w:val="none"/>
              </w:rPr>
              <w:t>矩形集气罩，</w:t>
            </w:r>
            <w:r>
              <w:rPr>
                <w:rFonts w:hint="eastAsia" w:cs="Times New Roman"/>
                <w:color w:val="auto"/>
                <w:spacing w:val="0"/>
                <w:sz w:val="24"/>
                <w:highlight w:val="none"/>
                <w:lang w:val="en-US" w:eastAsia="zh-CN"/>
              </w:rPr>
              <w:t>总集气面积5m</w:t>
            </w:r>
            <w:r>
              <w:rPr>
                <w:rFonts w:hint="eastAsia" w:cs="Times New Roman"/>
                <w:color w:val="auto"/>
                <w:spacing w:val="0"/>
                <w:sz w:val="24"/>
                <w:highlight w:val="none"/>
                <w:vertAlign w:val="superscript"/>
                <w:lang w:val="en-US" w:eastAsia="zh-CN"/>
              </w:rPr>
              <w:t>2</w:t>
            </w:r>
            <w:r>
              <w:rPr>
                <w:rFonts w:hint="eastAsia" w:cs="Times New Roman"/>
                <w:color w:val="auto"/>
                <w:spacing w:val="0"/>
                <w:sz w:val="24"/>
                <w:highlight w:val="none"/>
                <w:lang w:val="en-US" w:eastAsia="zh-CN"/>
              </w:rPr>
              <w:t>，</w:t>
            </w:r>
            <w:r>
              <w:rPr>
                <w:rFonts w:hint="default" w:ascii="Times New Roman" w:hAnsi="Times New Roman" w:cs="Times New Roman"/>
                <w:color w:val="auto"/>
                <w:spacing w:val="0"/>
                <w:sz w:val="24"/>
                <w:highlight w:val="none"/>
                <w:lang w:eastAsia="zh-CN"/>
              </w:rPr>
              <w:t>设计</w:t>
            </w:r>
            <w:r>
              <w:rPr>
                <w:rFonts w:hint="default" w:ascii="Times New Roman" w:hAnsi="Times New Roman" w:cs="Times New Roman"/>
                <w:color w:val="auto"/>
                <w:spacing w:val="0"/>
                <w:kern w:val="0"/>
                <w:sz w:val="24"/>
                <w:highlight w:val="none"/>
              </w:rPr>
              <w:t>风量为</w:t>
            </w:r>
            <w:r>
              <w:rPr>
                <w:rFonts w:hint="eastAsia" w:cs="Times New Roman"/>
                <w:color w:val="auto"/>
                <w:spacing w:val="0"/>
                <w:kern w:val="0"/>
                <w:sz w:val="24"/>
                <w:highlight w:val="none"/>
                <w:lang w:val="en-US" w:eastAsia="zh-CN"/>
              </w:rPr>
              <w:t>20</w:t>
            </w:r>
            <w:r>
              <w:rPr>
                <w:rFonts w:hint="default" w:ascii="Times New Roman" w:hAnsi="Times New Roman" w:cs="Times New Roman"/>
                <w:color w:val="auto"/>
                <w:spacing w:val="0"/>
                <w:kern w:val="0"/>
                <w:sz w:val="24"/>
                <w:highlight w:val="none"/>
              </w:rPr>
              <w:t>000m</w:t>
            </w:r>
            <w:r>
              <w:rPr>
                <w:rFonts w:hint="default" w:ascii="Times New Roman" w:hAnsi="Times New Roman" w:cs="Times New Roman"/>
                <w:color w:val="auto"/>
                <w:spacing w:val="0"/>
                <w:kern w:val="0"/>
                <w:sz w:val="24"/>
                <w:highlight w:val="none"/>
                <w:vertAlign w:val="superscript"/>
              </w:rPr>
              <w:t>3</w:t>
            </w:r>
            <w:r>
              <w:rPr>
                <w:rFonts w:hint="default" w:ascii="Times New Roman" w:hAnsi="Times New Roman" w:cs="Times New Roman"/>
                <w:color w:val="auto"/>
                <w:spacing w:val="0"/>
                <w:kern w:val="0"/>
                <w:sz w:val="24"/>
                <w:highlight w:val="none"/>
              </w:rPr>
              <w:t>/h，集尘效率为9</w:t>
            </w:r>
            <w:r>
              <w:rPr>
                <w:rFonts w:hint="default" w:ascii="Times New Roman" w:hAnsi="Times New Roman" w:cs="Times New Roman"/>
                <w:color w:val="auto"/>
                <w:spacing w:val="0"/>
                <w:kern w:val="0"/>
                <w:sz w:val="24"/>
                <w:highlight w:val="none"/>
                <w:lang w:val="en-US" w:eastAsia="zh-CN"/>
              </w:rPr>
              <w:t>0</w:t>
            </w:r>
            <w:r>
              <w:rPr>
                <w:rFonts w:hint="default" w:ascii="Times New Roman" w:hAnsi="Times New Roman" w:cs="Times New Roman"/>
                <w:color w:val="auto"/>
                <w:spacing w:val="0"/>
                <w:kern w:val="0"/>
                <w:sz w:val="24"/>
                <w:highlight w:val="none"/>
              </w:rPr>
              <w:t>%，</w:t>
            </w:r>
            <w:r>
              <w:rPr>
                <w:rFonts w:hint="default" w:ascii="Times New Roman" w:hAnsi="Times New Roman" w:cs="Times New Roman"/>
                <w:color w:val="auto"/>
                <w:spacing w:val="0"/>
                <w:kern w:val="0"/>
                <w:sz w:val="24"/>
                <w:highlight w:val="none"/>
                <w:lang w:eastAsia="zh-CN"/>
              </w:rPr>
              <w:t>经收集后连接至一台</w:t>
            </w:r>
            <w:r>
              <w:rPr>
                <w:rFonts w:hint="eastAsia" w:cs="Times New Roman"/>
                <w:color w:val="auto"/>
                <w:spacing w:val="0"/>
                <w:kern w:val="0"/>
                <w:sz w:val="24"/>
                <w:highlight w:val="none"/>
                <w:lang w:val="en-US" w:eastAsia="zh-CN"/>
              </w:rPr>
              <w:t>袋式</w:t>
            </w:r>
            <w:r>
              <w:rPr>
                <w:rFonts w:hint="default" w:ascii="Times New Roman" w:hAnsi="Times New Roman" w:cs="Times New Roman"/>
                <w:color w:val="auto"/>
                <w:spacing w:val="0"/>
                <w:kern w:val="0"/>
                <w:sz w:val="24"/>
                <w:highlight w:val="none"/>
                <w:lang w:eastAsia="zh-CN"/>
              </w:rPr>
              <w:t>除尘器</w:t>
            </w:r>
            <w:r>
              <w:rPr>
                <w:rFonts w:hint="eastAsia" w:cs="Times New Roman"/>
                <w:color w:val="auto"/>
                <w:spacing w:val="0"/>
                <w:kern w:val="0"/>
                <w:sz w:val="24"/>
                <w:highlight w:val="none"/>
                <w:lang w:eastAsia="zh-CN"/>
              </w:rPr>
              <w:t>，</w:t>
            </w:r>
            <w:r>
              <w:rPr>
                <w:rFonts w:hint="eastAsia" w:cs="Times New Roman"/>
                <w:color w:val="auto"/>
                <w:spacing w:val="0"/>
                <w:kern w:val="0"/>
                <w:sz w:val="24"/>
                <w:highlight w:val="none"/>
                <w:lang w:val="en-US" w:eastAsia="zh-CN"/>
              </w:rPr>
              <w:t>过滤面积</w:t>
            </w:r>
            <w:r>
              <w:rPr>
                <w:rFonts w:hint="eastAsia" w:cs="Times New Roman"/>
                <w:color w:val="auto"/>
                <w:sz w:val="24"/>
                <w:highlight w:val="none"/>
                <w:lang w:val="en-US" w:eastAsia="zh-CN"/>
              </w:rPr>
              <w:t>500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，过滤风速0.</w:t>
            </w:r>
            <w:r>
              <w:rPr>
                <w:rFonts w:hint="default" w:ascii="Times New Roman" w:hAnsi="Times New Roman" w:cs="Times New Roman"/>
                <w:color w:val="auto"/>
                <w:sz w:val="24"/>
                <w:highlight w:val="none"/>
                <w:lang w:val="en-US" w:eastAsia="zh-CN"/>
              </w:rPr>
              <w:t>6</w:t>
            </w:r>
            <w:r>
              <w:rPr>
                <w:rFonts w:hint="eastAsia"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m/min，</w:t>
            </w:r>
            <w:r>
              <w:rPr>
                <w:rFonts w:hint="default" w:ascii="Times New Roman" w:hAnsi="Times New Roman" w:cs="Times New Roman"/>
                <w:color w:val="auto"/>
                <w:sz w:val="24"/>
                <w:highlight w:val="none"/>
                <w:lang w:eastAsia="zh-CN"/>
              </w:rPr>
              <w:t>滤袋材质为覆膜滤袋，</w:t>
            </w:r>
            <w:r>
              <w:rPr>
                <w:rFonts w:hint="default" w:ascii="Times New Roman" w:hAnsi="Times New Roman" w:cs="Times New Roman"/>
                <w:color w:val="auto"/>
                <w:sz w:val="24"/>
                <w:highlight w:val="none"/>
              </w:rPr>
              <w:t>除尘效率99%以上</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pacing w:val="0"/>
                <w:sz w:val="24"/>
                <w:highlight w:val="none"/>
                <w:lang w:eastAsia="zh-CN"/>
              </w:rPr>
              <w:t>处理后由</w:t>
            </w:r>
            <w:r>
              <w:rPr>
                <w:rFonts w:hint="default" w:ascii="Times New Roman" w:hAnsi="Times New Roman" w:cs="Times New Roman"/>
                <w:color w:val="auto"/>
                <w:spacing w:val="0"/>
                <w:kern w:val="0"/>
                <w:sz w:val="24"/>
                <w:highlight w:val="none"/>
              </w:rPr>
              <w:t>15m高的排气筒</w:t>
            </w:r>
            <w:r>
              <w:rPr>
                <w:rFonts w:hint="eastAsia" w:cs="Times New Roman"/>
                <w:color w:val="auto"/>
                <w:spacing w:val="0"/>
                <w:kern w:val="0"/>
                <w:sz w:val="24"/>
                <w:highlight w:val="none"/>
                <w:lang w:eastAsia="zh-CN"/>
              </w:rPr>
              <w:t>（</w:t>
            </w:r>
            <w:r>
              <w:rPr>
                <w:rFonts w:hint="eastAsia" w:cs="Times New Roman"/>
                <w:color w:val="auto"/>
                <w:spacing w:val="0"/>
                <w:kern w:val="0"/>
                <w:sz w:val="24"/>
                <w:highlight w:val="none"/>
                <w:lang w:val="en-US" w:eastAsia="zh-CN"/>
              </w:rPr>
              <w:t>DA001</w:t>
            </w:r>
            <w:r>
              <w:rPr>
                <w:rFonts w:hint="eastAsia" w:cs="Times New Roman"/>
                <w:color w:val="auto"/>
                <w:spacing w:val="0"/>
                <w:kern w:val="0"/>
                <w:sz w:val="24"/>
                <w:highlight w:val="none"/>
                <w:lang w:eastAsia="zh-CN"/>
              </w:rPr>
              <w:t>）</w:t>
            </w:r>
            <w:r>
              <w:rPr>
                <w:rFonts w:hint="default" w:ascii="Times New Roman" w:hAnsi="Times New Roman" w:cs="Times New Roman"/>
                <w:color w:val="auto"/>
                <w:spacing w:val="0"/>
                <w:kern w:val="0"/>
                <w:sz w:val="24"/>
                <w:highlight w:val="none"/>
              </w:rPr>
              <w:t>排出</w:t>
            </w:r>
            <w:r>
              <w:rPr>
                <w:rFonts w:hint="default" w:ascii="Times New Roman" w:hAnsi="Times New Roman" w:cs="Times New Roman"/>
                <w:color w:val="auto"/>
                <w:spacing w:val="0"/>
                <w:kern w:val="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eastAsia" w:cs="Times New Roman"/>
                <w:bCs/>
                <w:color w:val="auto"/>
                <w:spacing w:val="0"/>
                <w:sz w:val="24"/>
                <w:szCs w:val="24"/>
                <w:highlight w:val="none"/>
                <w:lang w:eastAsia="zh-CN"/>
              </w:rPr>
              <w:t>（</w:t>
            </w:r>
            <w:r>
              <w:rPr>
                <w:rFonts w:hint="eastAsia" w:cs="Times New Roman"/>
                <w:bCs/>
                <w:color w:val="auto"/>
                <w:spacing w:val="0"/>
                <w:sz w:val="24"/>
                <w:szCs w:val="24"/>
                <w:highlight w:val="none"/>
                <w:lang w:val="en-US" w:eastAsia="zh-CN"/>
              </w:rPr>
              <w:t>3</w:t>
            </w:r>
            <w:r>
              <w:rPr>
                <w:rFonts w:hint="eastAsia" w:cs="Times New Roman"/>
                <w:bCs/>
                <w:color w:val="auto"/>
                <w:spacing w:val="0"/>
                <w:sz w:val="24"/>
                <w:szCs w:val="24"/>
                <w:highlight w:val="none"/>
                <w:lang w:eastAsia="zh-CN"/>
              </w:rPr>
              <w:t>）</w:t>
            </w:r>
            <w:r>
              <w:rPr>
                <w:rFonts w:hint="eastAsia" w:cs="Times New Roman"/>
                <w:bCs/>
                <w:color w:val="auto"/>
                <w:spacing w:val="0"/>
                <w:sz w:val="24"/>
                <w:szCs w:val="24"/>
                <w:highlight w:val="none"/>
                <w:lang w:val="en-US" w:eastAsia="zh-CN"/>
              </w:rPr>
              <w:t>粉状输送采用气力输送，</w:t>
            </w:r>
            <w:r>
              <w:rPr>
                <w:rFonts w:hint="default" w:ascii="Times New Roman" w:hAnsi="Times New Roman" w:cs="Times New Roman"/>
                <w:bCs/>
                <w:color w:val="auto"/>
                <w:spacing w:val="0"/>
                <w:sz w:val="24"/>
                <w:szCs w:val="24"/>
                <w:highlight w:val="none"/>
              </w:rPr>
              <w:t>受料口、落料口</w:t>
            </w:r>
            <w:r>
              <w:rPr>
                <w:rFonts w:hint="eastAsia" w:cs="Times New Roman"/>
                <w:bCs/>
                <w:color w:val="auto"/>
                <w:spacing w:val="0"/>
                <w:sz w:val="24"/>
                <w:szCs w:val="24"/>
                <w:highlight w:val="none"/>
                <w:lang w:val="en-US" w:eastAsia="zh-CN"/>
              </w:rPr>
              <w:t>以及除尘器出灰口</w:t>
            </w:r>
            <w:r>
              <w:rPr>
                <w:rFonts w:hint="default" w:ascii="Times New Roman" w:hAnsi="Times New Roman" w:cs="Times New Roman"/>
                <w:bCs/>
                <w:color w:val="auto"/>
                <w:spacing w:val="0"/>
                <w:sz w:val="24"/>
                <w:szCs w:val="24"/>
                <w:highlight w:val="none"/>
              </w:rPr>
              <w:t>采取封闭措施</w:t>
            </w:r>
            <w:r>
              <w:rPr>
                <w:rFonts w:hint="default" w:ascii="Times New Roman" w:hAnsi="Times New Roman" w:cs="Times New Roman"/>
                <w:color w:val="auto"/>
                <w:spacing w:val="0"/>
                <w:sz w:val="24"/>
                <w:szCs w:val="24"/>
                <w:highlight w:val="none"/>
                <w:lang w:eastAsia="zh-CN"/>
              </w:rPr>
              <w:t>。</w:t>
            </w:r>
          </w:p>
          <w:p>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rPr>
              <w:t>（4）本项目</w:t>
            </w:r>
            <w:r>
              <w:rPr>
                <w:rFonts w:hint="eastAsia" w:ascii="Times New Roman" w:hAnsi="Times New Roman" w:eastAsia="宋体" w:cs="Times New Roman"/>
                <w:color w:val="auto"/>
                <w:kern w:val="0"/>
                <w:sz w:val="24"/>
                <w:szCs w:val="24"/>
                <w:highlight w:val="none"/>
                <w:lang w:val="en-US" w:eastAsia="zh-CN"/>
              </w:rPr>
              <w:t>应采用</w:t>
            </w:r>
            <w:r>
              <w:rPr>
                <w:rFonts w:hint="default" w:ascii="Times New Roman" w:hAnsi="Times New Roman" w:eastAsia="宋体" w:cs="Times New Roman"/>
                <w:color w:val="auto"/>
                <w:kern w:val="0"/>
                <w:sz w:val="24"/>
                <w:szCs w:val="24"/>
                <w:highlight w:val="none"/>
                <w:lang w:val="en-US" w:eastAsia="zh-CN"/>
              </w:rPr>
              <w:t>清洁方式运输。环评提出以下几点要求：①运输</w:t>
            </w:r>
            <w:r>
              <w:rPr>
                <w:rFonts w:hint="eastAsia" w:ascii="Times New Roman" w:hAnsi="Times New Roman" w:eastAsia="宋体" w:cs="Times New Roman"/>
                <w:color w:val="auto"/>
                <w:kern w:val="0"/>
                <w:sz w:val="24"/>
                <w:szCs w:val="24"/>
                <w:highlight w:val="none"/>
                <w:lang w:val="en-US" w:eastAsia="zh-CN"/>
              </w:rPr>
              <w:t>车辆</w:t>
            </w:r>
            <w:r>
              <w:rPr>
                <w:rFonts w:hint="default" w:ascii="Times New Roman" w:hAnsi="Times New Roman" w:eastAsia="宋体" w:cs="Times New Roman"/>
                <w:color w:val="auto"/>
                <w:kern w:val="0"/>
                <w:sz w:val="24"/>
                <w:szCs w:val="24"/>
                <w:highlight w:val="none"/>
                <w:lang w:val="en-US" w:eastAsia="zh-CN"/>
              </w:rPr>
              <w:t>采用</w:t>
            </w:r>
            <w:r>
              <w:rPr>
                <w:rFonts w:hint="eastAsia" w:ascii="Times New Roman" w:hAnsi="Times New Roman" w:eastAsia="宋体" w:cs="Times New Roman"/>
                <w:color w:val="auto"/>
                <w:kern w:val="0"/>
                <w:sz w:val="24"/>
                <w:szCs w:val="24"/>
                <w:highlight w:val="none"/>
                <w:lang w:val="en-US" w:eastAsia="zh-CN"/>
              </w:rPr>
              <w:t>全封闭、</w:t>
            </w:r>
            <w:r>
              <w:rPr>
                <w:rFonts w:hint="default" w:ascii="Times New Roman" w:hAnsi="Times New Roman" w:eastAsia="宋体" w:cs="Times New Roman"/>
                <w:color w:val="auto"/>
                <w:kern w:val="0"/>
                <w:sz w:val="24"/>
                <w:szCs w:val="24"/>
                <w:highlight w:val="none"/>
                <w:lang w:val="en-US" w:eastAsia="zh-CN"/>
              </w:rPr>
              <w:t>新能源</w:t>
            </w:r>
            <w:r>
              <w:rPr>
                <w:rFonts w:hint="eastAsia" w:ascii="Times New Roman" w:hAnsi="Times New Roman" w:eastAsia="宋体" w:cs="Times New Roman"/>
                <w:color w:val="auto"/>
                <w:kern w:val="0"/>
                <w:sz w:val="24"/>
                <w:szCs w:val="24"/>
                <w:highlight w:val="none"/>
                <w:lang w:val="en-US" w:eastAsia="zh-CN"/>
              </w:rPr>
              <w:t>或国六标准</w:t>
            </w:r>
            <w:r>
              <w:rPr>
                <w:rFonts w:hint="default" w:ascii="Times New Roman" w:hAnsi="Times New Roman" w:eastAsia="宋体" w:cs="Times New Roman"/>
                <w:color w:val="auto"/>
                <w:kern w:val="0"/>
                <w:sz w:val="24"/>
                <w:szCs w:val="24"/>
                <w:highlight w:val="none"/>
                <w:lang w:val="en-US" w:eastAsia="zh-CN"/>
              </w:rPr>
              <w:t>车辆运输；②设车辆冲洗平台，冲洗平台距物料出入口不超过5m；③设独立的门禁系统及监控系统，储存周期最少三个月；④设有完善的运输台账、转运台账；⑤厂内非道路机械必须采用国三以上标准或新能源车辆，进行环保登记备案，并设有检修台账及运行记录。</w:t>
            </w:r>
          </w:p>
          <w:p>
            <w:pPr>
              <w:pStyle w:val="23"/>
              <w:keepNext w:val="0"/>
              <w:keepLines w:val="0"/>
              <w:pageBreakBefore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根据《非道路移动机械污染防治技术政策》，企业应做到以下几点：</w:t>
            </w: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rPr>
              <w:t>建立非道路移动机械登记制度，对需要重点监控的在用非道路移动机械进行登记，并对其排放状况进行监督检查；</w:t>
            </w:r>
            <w:r>
              <w:rPr>
                <w:rFonts w:hint="default" w:ascii="Times New Roman" w:hAnsi="Times New Roman" w:eastAsia="宋体" w:cs="Times New Roman"/>
                <w:b w:val="0"/>
                <w:bCs w:val="0"/>
                <w:color w:val="auto"/>
                <w:sz w:val="24"/>
                <w:szCs w:val="24"/>
                <w:highlight w:val="none"/>
                <w:lang w:val="en-US" w:eastAsia="zh-CN"/>
              </w:rPr>
              <w:t>b.</w:t>
            </w:r>
            <w:r>
              <w:rPr>
                <w:rFonts w:hint="default" w:ascii="Times New Roman" w:hAnsi="Times New Roman" w:eastAsia="宋体" w:cs="Times New Roman"/>
                <w:b w:val="0"/>
                <w:bCs w:val="0"/>
                <w:color w:val="auto"/>
                <w:sz w:val="24"/>
                <w:szCs w:val="24"/>
                <w:highlight w:val="none"/>
              </w:rPr>
              <w:t>加强在用非道路移动机械的排放检测和维修，保证非道路移动机械及其污染控制装置处于正常技术状态，应配备必要的排放检测及诊断设备，确保维修后的非道路移动机械排放稳定达标，同时妥善保存维修记录；</w:t>
            </w:r>
            <w:r>
              <w:rPr>
                <w:rFonts w:hint="default" w:ascii="Times New Roman" w:hAnsi="Times New Roman" w:eastAsia="宋体" w:cs="Times New Roman"/>
                <w:b w:val="0"/>
                <w:bCs w:val="0"/>
                <w:color w:val="auto"/>
                <w:sz w:val="24"/>
                <w:szCs w:val="24"/>
                <w:highlight w:val="none"/>
                <w:lang w:val="en-US" w:eastAsia="zh-CN"/>
              </w:rPr>
              <w:t>c.</w:t>
            </w:r>
            <w:r>
              <w:rPr>
                <w:rFonts w:hint="default" w:ascii="Times New Roman" w:hAnsi="Times New Roman" w:eastAsia="宋体" w:cs="Times New Roman"/>
                <w:b w:val="0"/>
                <w:bCs w:val="0"/>
                <w:color w:val="auto"/>
                <w:sz w:val="24"/>
                <w:szCs w:val="24"/>
                <w:highlight w:val="none"/>
              </w:rPr>
              <w:t>加强非道路移动机械的排放治理改造，保证非移动设备尾气达标排放；</w:t>
            </w:r>
            <w:r>
              <w:rPr>
                <w:rFonts w:hint="default" w:ascii="Times New Roman" w:hAnsi="Times New Roman" w:eastAsia="宋体" w:cs="Times New Roman"/>
                <w:b w:val="0"/>
                <w:bCs w:val="0"/>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rPr>
              <w:t>提升非道路移动机械燃料的清洁性，鼓励使用清洁能源，并留存燃料购买台账，留存备查；</w:t>
            </w:r>
            <w:r>
              <w:rPr>
                <w:rFonts w:hint="default" w:ascii="Times New Roman" w:hAnsi="Times New Roman" w:eastAsia="宋体" w:cs="Times New Roman"/>
                <w:b w:val="0"/>
                <w:bCs w:val="0"/>
                <w:color w:val="auto"/>
                <w:sz w:val="24"/>
                <w:szCs w:val="24"/>
                <w:highlight w:val="none"/>
                <w:lang w:val="en-US" w:eastAsia="zh-CN"/>
              </w:rPr>
              <w:t>e.</w:t>
            </w:r>
            <w:r>
              <w:rPr>
                <w:rFonts w:hint="default" w:ascii="Times New Roman" w:hAnsi="Times New Roman" w:eastAsia="宋体" w:cs="Times New Roman"/>
                <w:b w:val="0"/>
                <w:bCs w:val="0"/>
                <w:color w:val="auto"/>
                <w:sz w:val="24"/>
                <w:szCs w:val="24"/>
                <w:highlight w:val="none"/>
              </w:rPr>
              <w:t>加强非道路移动机械的噪声控制。禁止任何单位或个人擅自拆除弃用非道路移动机械的消声、隔声和吸声装置，加强对噪声控制装置的维护保养。</w:t>
            </w:r>
          </w:p>
          <w:p>
            <w:pPr>
              <w:pStyle w:val="23"/>
              <w:snapToGrid w:val="0"/>
              <w:spacing w:line="360" w:lineRule="auto"/>
              <w:ind w:firstLine="482" w:firstLineChars="200"/>
              <w:jc w:val="both"/>
              <w:rPr>
                <w:rFonts w:hint="eastAsia"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1.3</w:t>
            </w:r>
            <w:r>
              <w:rPr>
                <w:rFonts w:hint="eastAsia" w:ascii="Times New Roman" w:cs="Times New Roman"/>
                <w:b/>
                <w:bCs/>
                <w:color w:val="auto"/>
                <w:highlight w:val="none"/>
                <w:lang w:eastAsia="zh-CN"/>
              </w:rPr>
              <w:t>排气筒设置情况</w:t>
            </w:r>
          </w:p>
          <w:p>
            <w:pPr>
              <w:pStyle w:val="23"/>
              <w:snapToGrid w:val="0"/>
              <w:spacing w:line="360" w:lineRule="auto"/>
              <w:ind w:firstLine="480" w:firstLineChars="200"/>
              <w:jc w:val="both"/>
              <w:rPr>
                <w:rFonts w:hint="default" w:ascii="Times New Roman" w:hAnsi="Times New Roman" w:eastAsia="宋体" w:cs="Times New Roman"/>
                <w:b w:val="0"/>
                <w:bCs w:val="0"/>
                <w:color w:val="auto"/>
                <w:highlight w:val="none"/>
                <w:lang w:val="en-US" w:eastAsia="zh-CN"/>
              </w:rPr>
            </w:pPr>
            <w:r>
              <w:rPr>
                <w:rFonts w:hint="eastAsia" w:ascii="Times New Roman" w:cs="Times New Roman"/>
                <w:b w:val="0"/>
                <w:bCs w:val="0"/>
                <w:color w:val="auto"/>
                <w:highlight w:val="none"/>
                <w:lang w:eastAsia="zh-CN"/>
              </w:rPr>
              <w:t>本项目</w:t>
            </w:r>
            <w:r>
              <w:rPr>
                <w:rFonts w:hint="eastAsia" w:ascii="Times New Roman" w:cs="Times New Roman"/>
                <w:b w:val="0"/>
                <w:bCs w:val="0"/>
                <w:color w:val="auto"/>
                <w:highlight w:val="none"/>
                <w:lang w:val="en-US" w:eastAsia="zh-CN"/>
              </w:rPr>
              <w:t>设置1个15m排气筒，排气筒设置参数如下：</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16"/>
                <w:highlight w:val="none"/>
                <w:lang w:val="en-US" w:eastAsia="zh-CN"/>
              </w:rPr>
            </w:pPr>
            <w:r>
              <w:rPr>
                <w:rFonts w:hint="default" w:ascii="Times New Roman" w:hAnsi="Times New Roman" w:cs="Times New Roman"/>
                <w:b/>
                <w:bCs/>
                <w:color w:val="auto"/>
                <w:sz w:val="21"/>
                <w:szCs w:val="15"/>
                <w:highlight w:val="none"/>
                <w:lang w:eastAsia="zh-CN"/>
              </w:rPr>
              <w:t>表</w:t>
            </w:r>
            <w:r>
              <w:rPr>
                <w:rFonts w:hint="eastAsia" w:cs="Times New Roman"/>
                <w:b/>
                <w:bCs/>
                <w:color w:val="auto"/>
                <w:sz w:val="21"/>
                <w:szCs w:val="15"/>
                <w:highlight w:val="none"/>
                <w:lang w:val="en-US" w:eastAsia="zh-CN"/>
              </w:rPr>
              <w:t>4-2</w:t>
            </w:r>
            <w:r>
              <w:rPr>
                <w:rFonts w:hint="default" w:ascii="Times New Roman" w:hAnsi="Times New Roman" w:cs="Times New Roman"/>
                <w:b/>
                <w:bCs/>
                <w:color w:val="auto"/>
                <w:sz w:val="21"/>
                <w:szCs w:val="15"/>
                <w:highlight w:val="none"/>
                <w:lang w:val="en-US" w:eastAsia="zh-CN"/>
              </w:rPr>
              <w:t xml:space="preserve"> 本项目排气筒设置</w:t>
            </w:r>
            <w:r>
              <w:rPr>
                <w:rFonts w:hint="eastAsia" w:cs="Times New Roman"/>
                <w:b/>
                <w:bCs/>
                <w:color w:val="auto"/>
                <w:sz w:val="21"/>
                <w:szCs w:val="15"/>
                <w:highlight w:val="none"/>
                <w:lang w:val="en-US" w:eastAsia="zh-CN"/>
              </w:rPr>
              <w:t>参数</w:t>
            </w:r>
            <w:r>
              <w:rPr>
                <w:rFonts w:hint="default" w:ascii="Times New Roman" w:hAnsi="Times New Roman" w:cs="Times New Roman"/>
                <w:b/>
                <w:bCs/>
                <w:color w:val="auto"/>
                <w:sz w:val="21"/>
                <w:szCs w:val="15"/>
                <w:highlight w:val="none"/>
                <w:lang w:val="en-US" w:eastAsia="zh-CN"/>
              </w:rPr>
              <w:t>一览表</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28"/>
              <w:gridCol w:w="1146"/>
              <w:gridCol w:w="1056"/>
              <w:gridCol w:w="1444"/>
              <w:gridCol w:w="1236"/>
              <w:gridCol w:w="1165"/>
              <w:gridCol w:w="127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7" w:type="pct"/>
                  <w:vMerge w:val="restar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编号</w:t>
                  </w:r>
                  <w:r>
                    <w:rPr>
                      <w:rFonts w:hint="eastAsia" w:eastAsia="宋体" w:cs="Times New Roman"/>
                      <w:color w:val="auto"/>
                      <w:sz w:val="21"/>
                      <w:szCs w:val="21"/>
                      <w:highlight w:val="none"/>
                      <w:lang w:eastAsia="zh-CN"/>
                    </w:rPr>
                    <w:t>及名称</w:t>
                  </w:r>
                </w:p>
              </w:tc>
              <w:tc>
                <w:tcPr>
                  <w:tcW w:w="1272" w:type="pct"/>
                  <w:gridSpan w:val="2"/>
                  <w:tcBorders>
                    <w:bottom w:val="single" w:color="auto" w:sz="4" w:space="0"/>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eastAsia="zh-CN"/>
                    </w:rPr>
                    <w:t>坐标</w:t>
                  </w:r>
                </w:p>
              </w:tc>
              <w:tc>
                <w:tcPr>
                  <w:tcW w:w="2959" w:type="pct"/>
                  <w:gridSpan w:val="4"/>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排气筒参数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7" w:type="pct"/>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p>
              </w:tc>
              <w:tc>
                <w:tcPr>
                  <w:tcW w:w="662" w:type="pct"/>
                  <w:tcBorders>
                    <w:top w:val="single" w:color="auto" w:sz="4" w:space="0"/>
                    <w:bottom w:val="single" w:color="auto" w:sz="4" w:space="0"/>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E</w:t>
                  </w:r>
                </w:p>
              </w:tc>
              <w:tc>
                <w:tcPr>
                  <w:tcW w:w="610" w:type="pct"/>
                  <w:tcBorders>
                    <w:top w:val="single" w:color="auto" w:sz="4" w:space="0"/>
                    <w:bottom w:val="single" w:color="auto" w:sz="4" w:space="0"/>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N</w:t>
                  </w:r>
                </w:p>
              </w:tc>
              <w:tc>
                <w:tcPr>
                  <w:tcW w:w="834"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高度（m）</w:t>
                  </w:r>
                </w:p>
              </w:tc>
              <w:tc>
                <w:tcPr>
                  <w:tcW w:w="714"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内径（m）</w:t>
                  </w:r>
                </w:p>
              </w:tc>
              <w:tc>
                <w:tcPr>
                  <w:tcW w:w="673"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eastAsia="zh-CN"/>
                    </w:rPr>
                    <w:t>温度</w:t>
                  </w:r>
                </w:p>
              </w:tc>
              <w:tc>
                <w:tcPr>
                  <w:tcW w:w="737"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eastAsia="zh-CN"/>
                    </w:rPr>
                    <w:t>流速（</w:t>
                  </w:r>
                  <w:r>
                    <w:rPr>
                      <w:rFonts w:hint="eastAsia" w:eastAsia="宋体" w:cs="Times New Roman"/>
                      <w:color w:val="auto"/>
                      <w:sz w:val="21"/>
                      <w:szCs w:val="21"/>
                      <w:highlight w:val="none"/>
                      <w:lang w:val="en-US" w:eastAsia="zh-CN"/>
                    </w:rPr>
                    <w:t>m/s</w:t>
                  </w:r>
                  <w:r>
                    <w:rPr>
                      <w:rFonts w:hint="eastAsia" w:eastAsia="宋体" w:cs="Times New Roman"/>
                      <w:color w:val="auto"/>
                      <w:sz w:val="21"/>
                      <w:szCs w:val="21"/>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7"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1#排气筒</w:t>
                  </w:r>
                </w:p>
              </w:tc>
              <w:tc>
                <w:tcPr>
                  <w:tcW w:w="662" w:type="pct"/>
                  <w:tcBorders>
                    <w:top w:val="single" w:color="auto" w:sz="4" w:space="0"/>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113.</w:t>
                  </w:r>
                  <w:r>
                    <w:rPr>
                      <w:rFonts w:hint="eastAsia" w:cs="Times New Roman"/>
                      <w:color w:val="auto"/>
                      <w:sz w:val="21"/>
                      <w:szCs w:val="21"/>
                      <w:highlight w:val="none"/>
                      <w:lang w:val="en-US" w:eastAsia="zh-CN"/>
                    </w:rPr>
                    <w:t>817045</w:t>
                  </w:r>
                </w:p>
              </w:tc>
              <w:tc>
                <w:tcPr>
                  <w:tcW w:w="610" w:type="pct"/>
                  <w:tcBorders>
                    <w:top w:val="single" w:color="auto" w:sz="4" w:space="0"/>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eastAsia="宋体" w:cs="Times New Roman"/>
                      <w:color w:val="auto"/>
                      <w:sz w:val="21"/>
                      <w:szCs w:val="21"/>
                      <w:highlight w:val="none"/>
                      <w:lang w:val="en-US" w:eastAsia="zh-CN" w:bidi="ar-SA"/>
                    </w:rPr>
                    <w:t>39.</w:t>
                  </w:r>
                  <w:r>
                    <w:rPr>
                      <w:rFonts w:hint="eastAsia" w:cs="Times New Roman"/>
                      <w:color w:val="auto"/>
                      <w:sz w:val="21"/>
                      <w:szCs w:val="21"/>
                      <w:highlight w:val="none"/>
                      <w:lang w:val="en-US" w:eastAsia="zh-CN" w:bidi="ar-SA"/>
                    </w:rPr>
                    <w:t>336258</w:t>
                  </w:r>
                </w:p>
              </w:tc>
              <w:tc>
                <w:tcPr>
                  <w:tcW w:w="834"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714"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0.8</w:t>
                  </w:r>
                </w:p>
              </w:tc>
              <w:tc>
                <w:tcPr>
                  <w:tcW w:w="673"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常温</w:t>
                  </w:r>
                </w:p>
              </w:tc>
              <w:tc>
                <w:tcPr>
                  <w:tcW w:w="737"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11.06</w:t>
                  </w:r>
                </w:p>
              </w:tc>
            </w:tr>
          </w:tbl>
          <w:p>
            <w:pPr>
              <w:pStyle w:val="22"/>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textAlignment w:val="auto"/>
              <w:rPr>
                <w:rFonts w:hint="default" w:ascii="Times New Roman" w:hAnsi="Times New Roman" w:eastAsia="宋体" w:cs="Times New Roman"/>
                <w:color w:val="auto"/>
                <w:kern w:val="0"/>
                <w:sz w:val="24"/>
                <w:highlight w:val="none"/>
                <w:lang w:eastAsia="zh-CN"/>
              </w:rPr>
            </w:pPr>
            <w:r>
              <w:rPr>
                <w:rFonts w:hint="eastAsia" w:ascii="Times New Roman" w:hAnsi="Times New Roman" w:cs="Times New Roman"/>
                <w:color w:val="auto"/>
                <w:kern w:val="0"/>
                <w:sz w:val="24"/>
                <w:highlight w:val="none"/>
                <w:lang w:val="en-US" w:eastAsia="zh-CN"/>
              </w:rPr>
              <w:t>综上，</w:t>
            </w:r>
            <w:r>
              <w:rPr>
                <w:rFonts w:hint="default" w:ascii="Times New Roman" w:hAnsi="Times New Roman" w:cs="Times New Roman"/>
                <w:color w:val="auto"/>
                <w:kern w:val="0"/>
                <w:sz w:val="24"/>
                <w:highlight w:val="none"/>
                <w:lang w:eastAsia="zh-CN"/>
              </w:rPr>
              <w:t>本项目废气产污环节、</w:t>
            </w:r>
            <w:r>
              <w:rPr>
                <w:rFonts w:hint="eastAsia" w:cs="Times New Roman"/>
                <w:color w:val="auto"/>
                <w:kern w:val="0"/>
                <w:sz w:val="24"/>
                <w:highlight w:val="none"/>
                <w:lang w:eastAsia="zh-CN"/>
              </w:rPr>
              <w:t>治理措施、排放情况、</w:t>
            </w:r>
            <w:r>
              <w:rPr>
                <w:rFonts w:hint="default" w:ascii="Times New Roman" w:hAnsi="Times New Roman" w:cs="Times New Roman"/>
                <w:color w:val="auto"/>
                <w:kern w:val="0"/>
                <w:sz w:val="24"/>
                <w:highlight w:val="none"/>
                <w:lang w:eastAsia="zh-CN"/>
              </w:rPr>
              <w:t>排放口</w:t>
            </w:r>
            <w:r>
              <w:rPr>
                <w:rFonts w:hint="eastAsia" w:cs="Times New Roman"/>
                <w:color w:val="auto"/>
                <w:kern w:val="0"/>
                <w:sz w:val="24"/>
                <w:highlight w:val="none"/>
                <w:lang w:eastAsia="zh-CN"/>
              </w:rPr>
              <w:t>情况</w:t>
            </w:r>
            <w:r>
              <w:rPr>
                <w:rFonts w:hint="default" w:ascii="Times New Roman" w:hAnsi="Times New Roman" w:cs="Times New Roman"/>
                <w:color w:val="auto"/>
                <w:kern w:val="0"/>
                <w:sz w:val="24"/>
                <w:highlight w:val="none"/>
                <w:lang w:eastAsia="zh-CN"/>
              </w:rPr>
              <w:t>一览表如下：</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cs="Times New Roman"/>
                <w:b/>
                <w:bCs/>
                <w:color w:val="auto"/>
                <w:kern w:val="0"/>
                <w:sz w:val="21"/>
                <w:szCs w:val="21"/>
                <w:highlight w:val="none"/>
                <w:lang w:eastAsia="zh-CN"/>
              </w:rPr>
              <w:t>表</w:t>
            </w:r>
            <w:r>
              <w:rPr>
                <w:rFonts w:hint="eastAsia" w:cs="Times New Roman"/>
                <w:b/>
                <w:bCs/>
                <w:color w:val="auto"/>
                <w:kern w:val="0"/>
                <w:sz w:val="21"/>
                <w:szCs w:val="21"/>
                <w:highlight w:val="none"/>
                <w:lang w:val="en-US" w:eastAsia="zh-CN"/>
              </w:rPr>
              <w:t>4</w:t>
            </w:r>
            <w:r>
              <w:rPr>
                <w:rFonts w:hint="eastAsia" w:ascii="Times New Roman" w:hAnsi="Times New Roman" w:cs="Times New Roman"/>
                <w:b/>
                <w:bCs/>
                <w:color w:val="auto"/>
                <w:kern w:val="0"/>
                <w:sz w:val="21"/>
                <w:szCs w:val="21"/>
                <w:highlight w:val="none"/>
                <w:lang w:val="en-US" w:eastAsia="zh-CN"/>
              </w:rPr>
              <w:t xml:space="preserve">-3 </w:t>
            </w:r>
            <w:r>
              <w:rPr>
                <w:rFonts w:hint="eastAsia" w:cs="Times New Roman"/>
                <w:b/>
                <w:bCs/>
                <w:color w:val="auto"/>
                <w:kern w:val="0"/>
                <w:sz w:val="21"/>
                <w:szCs w:val="21"/>
                <w:highlight w:val="none"/>
                <w:lang w:val="en-US" w:eastAsia="zh-CN"/>
              </w:rPr>
              <w:t>本</w:t>
            </w:r>
            <w:r>
              <w:rPr>
                <w:rFonts w:hint="default" w:ascii="Times New Roman" w:hAnsi="Times New Roman" w:cs="Times New Roman"/>
                <w:b/>
                <w:bCs/>
                <w:color w:val="auto"/>
                <w:kern w:val="0"/>
                <w:sz w:val="21"/>
                <w:szCs w:val="21"/>
                <w:highlight w:val="none"/>
                <w:lang w:eastAsia="zh-CN"/>
              </w:rPr>
              <w:t>项目废气</w:t>
            </w:r>
            <w:r>
              <w:rPr>
                <w:rFonts w:hint="eastAsia" w:cs="Times New Roman"/>
                <w:b/>
                <w:bCs/>
                <w:color w:val="auto"/>
                <w:kern w:val="0"/>
                <w:sz w:val="21"/>
                <w:szCs w:val="21"/>
                <w:highlight w:val="none"/>
                <w:lang w:eastAsia="zh-CN"/>
              </w:rPr>
              <w:t>产污及治理措施</w:t>
            </w:r>
            <w:r>
              <w:rPr>
                <w:rFonts w:hint="default" w:ascii="Times New Roman" w:hAnsi="Times New Roman" w:cs="Times New Roman"/>
                <w:b/>
                <w:bCs/>
                <w:color w:val="auto"/>
                <w:kern w:val="0"/>
                <w:sz w:val="21"/>
                <w:szCs w:val="21"/>
                <w:highlight w:val="none"/>
                <w:lang w:eastAsia="zh-CN"/>
              </w:rPr>
              <w:t>一览表</w:t>
            </w:r>
          </w:p>
          <w:tbl>
            <w:tblPr>
              <w:tblStyle w:val="25"/>
              <w:tblW w:w="85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549"/>
              <w:gridCol w:w="817"/>
              <w:gridCol w:w="941"/>
              <w:gridCol w:w="543"/>
              <w:gridCol w:w="805"/>
              <w:gridCol w:w="612"/>
              <w:gridCol w:w="638"/>
              <w:gridCol w:w="670"/>
              <w:gridCol w:w="941"/>
              <w:gridCol w:w="707"/>
              <w:gridCol w:w="8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restart"/>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eastAsia="zh-CN"/>
                    </w:rPr>
                  </w:pPr>
                  <w:r>
                    <w:rPr>
                      <w:rFonts w:hint="eastAsia" w:ascii="Times New Roman" w:hAnsi="Times New Roman" w:cs="Times New Roman"/>
                      <w:color w:val="auto"/>
                      <w:kern w:val="0"/>
                      <w:sz w:val="18"/>
                      <w:szCs w:val="18"/>
                      <w:highlight w:val="none"/>
                      <w:vertAlign w:val="baseline"/>
                      <w:lang w:eastAsia="zh-CN"/>
                    </w:rPr>
                    <w:t>产污环节</w:t>
                  </w:r>
                </w:p>
              </w:tc>
              <w:tc>
                <w:tcPr>
                  <w:tcW w:w="596" w:type="dxa"/>
                  <w:vMerge w:val="restart"/>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eastAsia="zh-CN"/>
                    </w:rPr>
                  </w:pPr>
                  <w:r>
                    <w:rPr>
                      <w:rFonts w:hint="eastAsia" w:ascii="Times New Roman" w:hAnsi="Times New Roman" w:cs="Times New Roman"/>
                      <w:color w:val="auto"/>
                      <w:kern w:val="0"/>
                      <w:sz w:val="18"/>
                      <w:szCs w:val="18"/>
                      <w:highlight w:val="none"/>
                      <w:vertAlign w:val="baseline"/>
                      <w:lang w:eastAsia="zh-CN"/>
                    </w:rPr>
                    <w:t>污染物</w:t>
                  </w:r>
                  <w:r>
                    <w:rPr>
                      <w:rFonts w:hint="eastAsia" w:cs="Times New Roman"/>
                      <w:color w:val="auto"/>
                      <w:kern w:val="0"/>
                      <w:sz w:val="18"/>
                      <w:szCs w:val="18"/>
                      <w:highlight w:val="none"/>
                      <w:vertAlign w:val="baseline"/>
                      <w:lang w:eastAsia="zh-CN"/>
                    </w:rPr>
                    <w:t>种类</w:t>
                  </w:r>
                </w:p>
              </w:tc>
              <w:tc>
                <w:tcPr>
                  <w:tcW w:w="1710" w:type="dxa"/>
                  <w:gridSpan w:val="2"/>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eastAsia="zh-CN"/>
                    </w:rPr>
                  </w:pPr>
                  <w:r>
                    <w:rPr>
                      <w:rFonts w:hint="eastAsia" w:cs="Times New Roman"/>
                      <w:color w:val="auto"/>
                      <w:kern w:val="0"/>
                      <w:sz w:val="18"/>
                      <w:szCs w:val="18"/>
                      <w:highlight w:val="none"/>
                      <w:vertAlign w:val="baseline"/>
                      <w:lang w:eastAsia="zh-CN"/>
                    </w:rPr>
                    <w:t>产生情况</w:t>
                  </w:r>
                </w:p>
              </w:tc>
              <w:tc>
                <w:tcPr>
                  <w:tcW w:w="589" w:type="dxa"/>
                  <w:vMerge w:val="restart"/>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highlight w:val="none"/>
                      <w:vertAlign w:val="baseline"/>
                      <w:lang w:eastAsia="zh-CN"/>
                    </w:rPr>
                  </w:pPr>
                  <w:r>
                    <w:rPr>
                      <w:rFonts w:hint="eastAsia" w:ascii="Times New Roman" w:hAnsi="Times New Roman" w:cs="Times New Roman"/>
                      <w:color w:val="auto"/>
                      <w:kern w:val="0"/>
                      <w:sz w:val="18"/>
                      <w:szCs w:val="18"/>
                      <w:highlight w:val="none"/>
                      <w:vertAlign w:val="baseline"/>
                      <w:lang w:eastAsia="zh-CN"/>
                    </w:rPr>
                    <w:t>排放</w:t>
                  </w:r>
                </w:p>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eastAsia="zh-CN"/>
                    </w:rPr>
                  </w:pPr>
                  <w:r>
                    <w:rPr>
                      <w:rFonts w:hint="eastAsia" w:ascii="Times New Roman" w:hAnsi="Times New Roman" w:cs="Times New Roman"/>
                      <w:color w:val="auto"/>
                      <w:kern w:val="0"/>
                      <w:sz w:val="18"/>
                      <w:szCs w:val="18"/>
                      <w:highlight w:val="none"/>
                      <w:vertAlign w:val="baseline"/>
                      <w:lang w:eastAsia="zh-CN"/>
                    </w:rPr>
                    <w:t>形式</w:t>
                  </w:r>
                </w:p>
              </w:tc>
              <w:tc>
                <w:tcPr>
                  <w:tcW w:w="2167" w:type="dxa"/>
                  <w:gridSpan w:val="3"/>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eastAsia="zh-CN"/>
                    </w:rPr>
                  </w:pPr>
                  <w:r>
                    <w:rPr>
                      <w:rFonts w:hint="eastAsia" w:ascii="Times New Roman" w:hAnsi="Times New Roman" w:cs="Times New Roman"/>
                      <w:color w:val="auto"/>
                      <w:kern w:val="0"/>
                      <w:sz w:val="18"/>
                      <w:szCs w:val="18"/>
                      <w:highlight w:val="none"/>
                      <w:vertAlign w:val="baseline"/>
                      <w:lang w:eastAsia="zh-CN"/>
                    </w:rPr>
                    <w:t>污染治理措施</w:t>
                  </w:r>
                </w:p>
              </w:tc>
              <w:tc>
                <w:tcPr>
                  <w:tcW w:w="1538" w:type="dxa"/>
                  <w:gridSpan w:val="2"/>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highlight w:val="none"/>
                      <w:vertAlign w:val="baseline"/>
                      <w:lang w:eastAsia="zh-CN"/>
                    </w:rPr>
                  </w:pPr>
                  <w:r>
                    <w:rPr>
                      <w:rFonts w:hint="eastAsia" w:cs="Times New Roman"/>
                      <w:color w:val="auto"/>
                      <w:kern w:val="0"/>
                      <w:sz w:val="18"/>
                      <w:szCs w:val="18"/>
                      <w:highlight w:val="none"/>
                      <w:vertAlign w:val="baseline"/>
                      <w:lang w:eastAsia="zh-CN"/>
                    </w:rPr>
                    <w:t>排放情况</w:t>
                  </w:r>
                </w:p>
              </w:tc>
              <w:tc>
                <w:tcPr>
                  <w:tcW w:w="720" w:type="dxa"/>
                  <w:vMerge w:val="restart"/>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highlight w:val="none"/>
                      <w:vertAlign w:val="baseline"/>
                      <w:lang w:eastAsia="zh-CN"/>
                    </w:rPr>
                  </w:pPr>
                  <w:r>
                    <w:rPr>
                      <w:rFonts w:hint="eastAsia" w:ascii="Times New Roman" w:hAnsi="Times New Roman" w:cs="Times New Roman"/>
                      <w:color w:val="auto"/>
                      <w:kern w:val="0"/>
                      <w:sz w:val="18"/>
                      <w:szCs w:val="18"/>
                      <w:highlight w:val="none"/>
                      <w:vertAlign w:val="baseline"/>
                      <w:lang w:eastAsia="zh-CN"/>
                    </w:rPr>
                    <w:t>排放口</w:t>
                  </w:r>
                  <w:r>
                    <w:rPr>
                      <w:rFonts w:hint="eastAsia" w:cs="Times New Roman"/>
                      <w:color w:val="auto"/>
                      <w:kern w:val="0"/>
                      <w:sz w:val="18"/>
                      <w:szCs w:val="18"/>
                      <w:highlight w:val="none"/>
                      <w:vertAlign w:val="baseline"/>
                      <w:lang w:eastAsia="zh-CN"/>
                    </w:rPr>
                    <w:t>基本情况</w:t>
                  </w:r>
                </w:p>
              </w:tc>
              <w:tc>
                <w:tcPr>
                  <w:tcW w:w="664" w:type="dxa"/>
                  <w:vMerge w:val="restart"/>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highlight w:val="none"/>
                      <w:vertAlign w:val="baseline"/>
                      <w:lang w:eastAsia="zh-CN"/>
                    </w:rPr>
                  </w:pPr>
                  <w:r>
                    <w:rPr>
                      <w:rFonts w:hint="eastAsia" w:ascii="Times New Roman" w:hAnsi="Times New Roman" w:cs="Times New Roman"/>
                      <w:color w:val="auto"/>
                      <w:kern w:val="0"/>
                      <w:sz w:val="18"/>
                      <w:szCs w:val="18"/>
                      <w:highlight w:val="none"/>
                      <w:vertAlign w:val="baseline"/>
                      <w:lang w:eastAsia="zh-CN"/>
                    </w:rPr>
                    <w:t>排放</w:t>
                  </w:r>
                </w:p>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highlight w:val="none"/>
                      <w:vertAlign w:val="baseline"/>
                      <w:lang w:eastAsia="zh-CN"/>
                    </w:rPr>
                  </w:pPr>
                  <w:r>
                    <w:rPr>
                      <w:rFonts w:hint="eastAsia" w:ascii="Times New Roman" w:hAnsi="Times New Roman" w:cs="Times New Roman"/>
                      <w:color w:val="auto"/>
                      <w:kern w:val="0"/>
                      <w:sz w:val="18"/>
                      <w:szCs w:val="18"/>
                      <w:highlight w:val="none"/>
                      <w:vertAlign w:val="baseline"/>
                      <w:lang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continue"/>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rPr>
                  </w:pPr>
                </w:p>
              </w:tc>
              <w:tc>
                <w:tcPr>
                  <w:tcW w:w="596" w:type="dxa"/>
                  <w:vMerge w:val="continue"/>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rPr>
                  </w:pPr>
                </w:p>
              </w:tc>
              <w:tc>
                <w:tcPr>
                  <w:tcW w:w="84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eastAsia="zh-CN"/>
                    </w:rPr>
                  </w:pPr>
                  <w:r>
                    <w:rPr>
                      <w:rFonts w:hint="eastAsia" w:cs="Times New Roman"/>
                      <w:color w:val="auto"/>
                      <w:kern w:val="0"/>
                      <w:sz w:val="18"/>
                      <w:szCs w:val="18"/>
                      <w:highlight w:val="none"/>
                      <w:vertAlign w:val="baseline"/>
                      <w:lang w:eastAsia="zh-CN"/>
                    </w:rPr>
                    <w:t>产生量（</w:t>
                  </w:r>
                  <w:r>
                    <w:rPr>
                      <w:rFonts w:hint="eastAsia" w:cs="Times New Roman"/>
                      <w:color w:val="auto"/>
                      <w:kern w:val="0"/>
                      <w:sz w:val="18"/>
                      <w:szCs w:val="18"/>
                      <w:highlight w:val="none"/>
                      <w:vertAlign w:val="baseline"/>
                      <w:lang w:val="en-US" w:eastAsia="zh-CN"/>
                    </w:rPr>
                    <w:t>t/a</w:t>
                  </w:r>
                  <w:r>
                    <w:rPr>
                      <w:rFonts w:hint="eastAsia" w:cs="Times New Roman"/>
                      <w:color w:val="auto"/>
                      <w:kern w:val="0"/>
                      <w:sz w:val="18"/>
                      <w:szCs w:val="18"/>
                      <w:highlight w:val="none"/>
                      <w:vertAlign w:val="baseline"/>
                      <w:lang w:eastAsia="zh-CN"/>
                    </w:rPr>
                    <w:t>）</w:t>
                  </w:r>
                </w:p>
              </w:tc>
              <w:tc>
                <w:tcPr>
                  <w:tcW w:w="87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eastAsia="zh-CN"/>
                    </w:rPr>
                  </w:pPr>
                  <w:r>
                    <w:rPr>
                      <w:rFonts w:hint="eastAsia" w:cs="Times New Roman"/>
                      <w:color w:val="auto"/>
                      <w:kern w:val="0"/>
                      <w:sz w:val="18"/>
                      <w:szCs w:val="18"/>
                      <w:highlight w:val="none"/>
                      <w:vertAlign w:val="baseline"/>
                      <w:lang w:eastAsia="zh-CN"/>
                    </w:rPr>
                    <w:t>浓度（</w:t>
                  </w:r>
                  <w:r>
                    <w:rPr>
                      <w:rFonts w:hint="eastAsia" w:cs="Times New Roman"/>
                      <w:color w:val="auto"/>
                      <w:kern w:val="0"/>
                      <w:sz w:val="18"/>
                      <w:szCs w:val="18"/>
                      <w:highlight w:val="none"/>
                      <w:vertAlign w:val="baseline"/>
                      <w:lang w:val="en-US" w:eastAsia="zh-CN"/>
                    </w:rPr>
                    <w:t>mg/m</w:t>
                  </w:r>
                  <w:r>
                    <w:rPr>
                      <w:rFonts w:hint="eastAsia" w:cs="Times New Roman"/>
                      <w:color w:val="auto"/>
                      <w:kern w:val="0"/>
                      <w:sz w:val="18"/>
                      <w:szCs w:val="18"/>
                      <w:highlight w:val="none"/>
                      <w:vertAlign w:val="superscript"/>
                      <w:lang w:val="en-US" w:eastAsia="zh-CN"/>
                    </w:rPr>
                    <w:t>3</w:t>
                  </w:r>
                  <w:r>
                    <w:rPr>
                      <w:rFonts w:hint="eastAsia" w:cs="Times New Roman"/>
                      <w:color w:val="auto"/>
                      <w:kern w:val="0"/>
                      <w:sz w:val="18"/>
                      <w:szCs w:val="18"/>
                      <w:highlight w:val="none"/>
                      <w:vertAlign w:val="baseline"/>
                      <w:lang w:eastAsia="zh-CN"/>
                    </w:rPr>
                    <w:t>）</w:t>
                  </w:r>
                </w:p>
              </w:tc>
              <w:tc>
                <w:tcPr>
                  <w:tcW w:w="589" w:type="dxa"/>
                  <w:vMerge w:val="continue"/>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rPr>
                  </w:pPr>
                </w:p>
              </w:tc>
              <w:tc>
                <w:tcPr>
                  <w:tcW w:w="866"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rPr>
                  </w:pPr>
                  <w:r>
                    <w:rPr>
                      <w:rFonts w:hint="eastAsia" w:ascii="Times New Roman" w:hAnsi="Times New Roman" w:cs="Times New Roman"/>
                      <w:color w:val="auto"/>
                      <w:kern w:val="0"/>
                      <w:sz w:val="18"/>
                      <w:szCs w:val="18"/>
                      <w:highlight w:val="none"/>
                      <w:vertAlign w:val="baseline"/>
                      <w:lang w:eastAsia="zh-CN"/>
                    </w:rPr>
                    <w:t>治理设施名称及工艺</w:t>
                  </w:r>
                </w:p>
              </w:tc>
              <w:tc>
                <w:tcPr>
                  <w:tcW w:w="60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eastAsia="zh-CN"/>
                    </w:rPr>
                  </w:pPr>
                  <w:r>
                    <w:rPr>
                      <w:rFonts w:hint="eastAsia" w:cs="Times New Roman"/>
                      <w:color w:val="auto"/>
                      <w:kern w:val="0"/>
                      <w:sz w:val="18"/>
                      <w:szCs w:val="18"/>
                      <w:highlight w:val="none"/>
                      <w:vertAlign w:val="baseline"/>
                      <w:lang w:eastAsia="zh-CN"/>
                    </w:rPr>
                    <w:t>效率（</w:t>
                  </w:r>
                  <w:r>
                    <w:rPr>
                      <w:rFonts w:hint="eastAsia" w:cs="Times New Roman"/>
                      <w:color w:val="auto"/>
                      <w:kern w:val="0"/>
                      <w:sz w:val="18"/>
                      <w:szCs w:val="18"/>
                      <w:highlight w:val="none"/>
                      <w:vertAlign w:val="baseline"/>
                      <w:lang w:val="en-US" w:eastAsia="zh-CN"/>
                    </w:rPr>
                    <w:t>%</w:t>
                  </w:r>
                  <w:r>
                    <w:rPr>
                      <w:rFonts w:hint="eastAsia" w:cs="Times New Roman"/>
                      <w:color w:val="auto"/>
                      <w:kern w:val="0"/>
                      <w:sz w:val="18"/>
                      <w:szCs w:val="18"/>
                      <w:highlight w:val="none"/>
                      <w:vertAlign w:val="baseline"/>
                      <w:lang w:eastAsia="zh-CN"/>
                    </w:rPr>
                    <w:t>）</w:t>
                  </w:r>
                </w:p>
              </w:tc>
              <w:tc>
                <w:tcPr>
                  <w:tcW w:w="701"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eastAsia="zh-CN"/>
                    </w:rPr>
                  </w:pPr>
                  <w:r>
                    <w:rPr>
                      <w:rFonts w:hint="eastAsia" w:ascii="Times New Roman" w:hAnsi="Times New Roman" w:cs="Times New Roman"/>
                      <w:color w:val="auto"/>
                      <w:kern w:val="0"/>
                      <w:sz w:val="18"/>
                      <w:szCs w:val="18"/>
                      <w:highlight w:val="none"/>
                      <w:vertAlign w:val="baseline"/>
                      <w:lang w:eastAsia="zh-CN"/>
                    </w:rPr>
                    <w:t>是否为可行技术</w:t>
                  </w:r>
                </w:p>
              </w:tc>
              <w:tc>
                <w:tcPr>
                  <w:tcW w:w="675"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val="en-US" w:eastAsia="zh-CN" w:bidi="ar-SA"/>
                    </w:rPr>
                  </w:pPr>
                  <w:r>
                    <w:rPr>
                      <w:rFonts w:hint="eastAsia" w:cs="Times New Roman"/>
                      <w:color w:val="auto"/>
                      <w:kern w:val="0"/>
                      <w:sz w:val="18"/>
                      <w:szCs w:val="18"/>
                      <w:highlight w:val="none"/>
                      <w:vertAlign w:val="baseline"/>
                      <w:lang w:eastAsia="zh-CN"/>
                    </w:rPr>
                    <w:t>排放量（</w:t>
                  </w:r>
                  <w:r>
                    <w:rPr>
                      <w:rFonts w:hint="eastAsia" w:cs="Times New Roman"/>
                      <w:color w:val="auto"/>
                      <w:kern w:val="0"/>
                      <w:sz w:val="18"/>
                      <w:szCs w:val="18"/>
                      <w:highlight w:val="none"/>
                      <w:vertAlign w:val="baseline"/>
                      <w:lang w:val="en-US" w:eastAsia="zh-CN"/>
                    </w:rPr>
                    <w:t>t/a</w:t>
                  </w:r>
                  <w:r>
                    <w:rPr>
                      <w:rFonts w:hint="eastAsia" w:cs="Times New Roman"/>
                      <w:color w:val="auto"/>
                      <w:kern w:val="0"/>
                      <w:sz w:val="18"/>
                      <w:szCs w:val="18"/>
                      <w:highlight w:val="none"/>
                      <w:vertAlign w:val="baseline"/>
                      <w:lang w:eastAsia="zh-CN"/>
                    </w:rPr>
                    <w:t>）</w:t>
                  </w:r>
                </w:p>
              </w:tc>
              <w:tc>
                <w:tcPr>
                  <w:tcW w:w="863"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val="en-US" w:eastAsia="zh-CN" w:bidi="ar-SA"/>
                    </w:rPr>
                  </w:pPr>
                  <w:r>
                    <w:rPr>
                      <w:rFonts w:hint="eastAsia" w:cs="Times New Roman"/>
                      <w:color w:val="auto"/>
                      <w:kern w:val="0"/>
                      <w:sz w:val="18"/>
                      <w:szCs w:val="18"/>
                      <w:highlight w:val="none"/>
                      <w:vertAlign w:val="baseline"/>
                      <w:lang w:eastAsia="zh-CN"/>
                    </w:rPr>
                    <w:t>浓度（</w:t>
                  </w:r>
                  <w:r>
                    <w:rPr>
                      <w:rFonts w:hint="eastAsia" w:cs="Times New Roman"/>
                      <w:color w:val="auto"/>
                      <w:kern w:val="0"/>
                      <w:sz w:val="18"/>
                      <w:szCs w:val="18"/>
                      <w:highlight w:val="none"/>
                      <w:vertAlign w:val="baseline"/>
                      <w:lang w:val="en-US" w:eastAsia="zh-CN"/>
                    </w:rPr>
                    <w:t>mg/m</w:t>
                  </w:r>
                  <w:r>
                    <w:rPr>
                      <w:rFonts w:hint="eastAsia" w:cs="Times New Roman"/>
                      <w:color w:val="auto"/>
                      <w:kern w:val="0"/>
                      <w:sz w:val="18"/>
                      <w:szCs w:val="18"/>
                      <w:highlight w:val="none"/>
                      <w:vertAlign w:val="superscript"/>
                      <w:lang w:val="en-US" w:eastAsia="zh-CN"/>
                    </w:rPr>
                    <w:t>3</w:t>
                  </w:r>
                  <w:r>
                    <w:rPr>
                      <w:rFonts w:hint="eastAsia" w:cs="Times New Roman"/>
                      <w:color w:val="auto"/>
                      <w:kern w:val="0"/>
                      <w:sz w:val="18"/>
                      <w:szCs w:val="18"/>
                      <w:highlight w:val="none"/>
                      <w:vertAlign w:val="baseline"/>
                      <w:lang w:eastAsia="zh-CN"/>
                    </w:rPr>
                    <w:t>）</w:t>
                  </w:r>
                </w:p>
              </w:tc>
              <w:tc>
                <w:tcPr>
                  <w:tcW w:w="720" w:type="dxa"/>
                  <w:vMerge w:val="continue"/>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highlight w:val="none"/>
                      <w:vertAlign w:val="baseline"/>
                      <w:lang w:eastAsia="zh-CN"/>
                    </w:rPr>
                  </w:pPr>
                </w:p>
              </w:tc>
              <w:tc>
                <w:tcPr>
                  <w:tcW w:w="664" w:type="dxa"/>
                  <w:vMerge w:val="continue"/>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highlight w:val="none"/>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eastAsia="zh-CN"/>
                    </w:rPr>
                  </w:pPr>
                  <w:r>
                    <w:rPr>
                      <w:rFonts w:hint="eastAsia" w:cs="Times New Roman"/>
                      <w:color w:val="auto"/>
                      <w:kern w:val="0"/>
                      <w:sz w:val="18"/>
                      <w:szCs w:val="18"/>
                      <w:highlight w:val="none"/>
                      <w:vertAlign w:val="baseline"/>
                      <w:lang w:eastAsia="zh-CN"/>
                    </w:rPr>
                    <w:t>车辆运输</w:t>
                  </w:r>
                </w:p>
              </w:tc>
              <w:tc>
                <w:tcPr>
                  <w:tcW w:w="596"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eastAsia="zh-CN"/>
                    </w:rPr>
                  </w:pPr>
                  <w:r>
                    <w:rPr>
                      <w:rFonts w:hint="eastAsia" w:cs="Times New Roman"/>
                      <w:color w:val="auto"/>
                      <w:kern w:val="0"/>
                      <w:sz w:val="18"/>
                      <w:szCs w:val="18"/>
                      <w:highlight w:val="none"/>
                      <w:vertAlign w:val="baseline"/>
                      <w:lang w:val="en-US" w:eastAsia="zh-CN"/>
                    </w:rPr>
                    <w:t>粉尘</w:t>
                  </w:r>
                </w:p>
              </w:tc>
              <w:tc>
                <w:tcPr>
                  <w:tcW w:w="84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1.0</w:t>
                  </w:r>
                </w:p>
              </w:tc>
              <w:tc>
                <w:tcPr>
                  <w:tcW w:w="87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w:t>
                  </w:r>
                </w:p>
              </w:tc>
              <w:tc>
                <w:tcPr>
                  <w:tcW w:w="589"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eastAsia="zh-CN"/>
                    </w:rPr>
                  </w:pPr>
                  <w:r>
                    <w:rPr>
                      <w:rFonts w:hint="eastAsia" w:cs="Times New Roman"/>
                      <w:color w:val="auto"/>
                      <w:kern w:val="0"/>
                      <w:sz w:val="18"/>
                      <w:szCs w:val="18"/>
                      <w:highlight w:val="none"/>
                      <w:vertAlign w:val="baseline"/>
                      <w:lang w:eastAsia="zh-CN"/>
                    </w:rPr>
                    <w:t>无组织</w:t>
                  </w:r>
                </w:p>
              </w:tc>
              <w:tc>
                <w:tcPr>
                  <w:tcW w:w="866"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rPr>
                  </w:pPr>
                  <w:r>
                    <w:rPr>
                      <w:rFonts w:hint="default" w:ascii="Times New Roman" w:hAnsi="Times New Roman" w:cs="Times New Roman"/>
                      <w:color w:val="auto"/>
                      <w:kern w:val="0"/>
                      <w:sz w:val="18"/>
                      <w:szCs w:val="18"/>
                      <w:highlight w:val="none"/>
                      <w:vertAlign w:val="baseline"/>
                    </w:rPr>
                    <w:t>严禁超载，</w:t>
                  </w:r>
                  <w:r>
                    <w:rPr>
                      <w:rFonts w:hint="eastAsia" w:cs="Times New Roman"/>
                      <w:color w:val="auto"/>
                      <w:kern w:val="0"/>
                      <w:sz w:val="18"/>
                      <w:szCs w:val="18"/>
                      <w:highlight w:val="none"/>
                      <w:vertAlign w:val="baseline"/>
                      <w:lang w:eastAsia="zh-CN"/>
                    </w:rPr>
                    <w:t>减速慢行，</w:t>
                  </w:r>
                  <w:r>
                    <w:rPr>
                      <w:rFonts w:hint="default" w:ascii="Times New Roman" w:hAnsi="Times New Roman" w:cs="Times New Roman"/>
                      <w:color w:val="auto"/>
                      <w:kern w:val="0"/>
                      <w:sz w:val="18"/>
                      <w:szCs w:val="18"/>
                      <w:highlight w:val="none"/>
                      <w:vertAlign w:val="baseline"/>
                    </w:rPr>
                    <w:t>帆布覆盖，路面硬化</w:t>
                  </w:r>
                  <w:r>
                    <w:rPr>
                      <w:rFonts w:hint="eastAsia" w:cs="Times New Roman"/>
                      <w:color w:val="auto"/>
                      <w:kern w:val="0"/>
                      <w:sz w:val="18"/>
                      <w:szCs w:val="18"/>
                      <w:highlight w:val="none"/>
                      <w:vertAlign w:val="baseline"/>
                      <w:lang w:eastAsia="zh-CN"/>
                    </w:rPr>
                    <w:t>、</w:t>
                  </w:r>
                  <w:r>
                    <w:rPr>
                      <w:rFonts w:hint="default" w:ascii="Times New Roman" w:hAnsi="Times New Roman" w:cs="Times New Roman"/>
                      <w:color w:val="auto"/>
                      <w:kern w:val="0"/>
                      <w:sz w:val="18"/>
                      <w:szCs w:val="18"/>
                      <w:highlight w:val="none"/>
                      <w:vertAlign w:val="baseline"/>
                    </w:rPr>
                    <w:t>洒水、清扫</w:t>
                  </w:r>
                </w:p>
              </w:tc>
              <w:tc>
                <w:tcPr>
                  <w:tcW w:w="60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70</w:t>
                  </w:r>
                </w:p>
              </w:tc>
              <w:tc>
                <w:tcPr>
                  <w:tcW w:w="701"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highlight w:val="none"/>
                      <w:vertAlign w:val="baseline"/>
                      <w:lang w:eastAsia="zh-CN"/>
                    </w:rPr>
                  </w:pPr>
                  <w:r>
                    <w:rPr>
                      <w:rFonts w:hint="eastAsia" w:cs="Times New Roman"/>
                      <w:color w:val="auto"/>
                      <w:kern w:val="0"/>
                      <w:sz w:val="18"/>
                      <w:szCs w:val="18"/>
                      <w:highlight w:val="none"/>
                      <w:vertAlign w:val="baseline"/>
                      <w:lang w:eastAsia="zh-CN"/>
                    </w:rPr>
                    <w:t>是</w:t>
                  </w:r>
                </w:p>
              </w:tc>
              <w:tc>
                <w:tcPr>
                  <w:tcW w:w="675"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0.3</w:t>
                  </w:r>
                </w:p>
              </w:tc>
              <w:tc>
                <w:tcPr>
                  <w:tcW w:w="863"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w:t>
                  </w:r>
                </w:p>
              </w:tc>
              <w:tc>
                <w:tcPr>
                  <w:tcW w:w="72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w:t>
                  </w:r>
                </w:p>
              </w:tc>
              <w:tc>
                <w:tcPr>
                  <w:tcW w:w="664" w:type="dxa"/>
                  <w:vMerge w:val="restart"/>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highlight w:val="none"/>
                      <w:vertAlign w:val="baseline"/>
                      <w:lang w:eastAsia="zh-CN"/>
                    </w:rPr>
                  </w:pPr>
                  <w:r>
                    <w:rPr>
                      <w:rFonts w:hint="default" w:ascii="Times New Roman" w:hAnsi="Times New Roman" w:cs="Times New Roman"/>
                      <w:color w:val="auto"/>
                      <w:kern w:val="0"/>
                      <w:sz w:val="18"/>
                      <w:szCs w:val="18"/>
                      <w:highlight w:val="none"/>
                      <w:vertAlign w:val="baseline"/>
                    </w:rPr>
                    <w:t>GB16297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552" w:type="dxa"/>
                  <w:vMerge w:val="restart"/>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上料搅拌</w:t>
                  </w:r>
                </w:p>
              </w:tc>
              <w:tc>
                <w:tcPr>
                  <w:tcW w:w="596"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eastAsia="zh-CN"/>
                    </w:rPr>
                  </w:pPr>
                  <w:r>
                    <w:rPr>
                      <w:rFonts w:hint="eastAsia" w:ascii="Times New Roman" w:hAnsi="Times New Roman" w:cs="Times New Roman"/>
                      <w:color w:val="auto"/>
                      <w:kern w:val="0"/>
                      <w:sz w:val="18"/>
                      <w:szCs w:val="18"/>
                      <w:highlight w:val="none"/>
                      <w:vertAlign w:val="baseline"/>
                      <w:lang w:val="en-US" w:eastAsia="zh-CN"/>
                    </w:rPr>
                    <w:t>粉尘</w:t>
                  </w:r>
                </w:p>
              </w:tc>
              <w:tc>
                <w:tcPr>
                  <w:tcW w:w="84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lang w:val="en-US" w:eastAsia="zh-CN"/>
                    </w:rPr>
                  </w:pPr>
                  <w:r>
                    <w:rPr>
                      <w:rFonts w:hint="eastAsia" w:ascii="Times New Roman" w:hAnsi="Times New Roman" w:cs="Times New Roman"/>
                      <w:color w:val="auto"/>
                      <w:kern w:val="0"/>
                      <w:sz w:val="18"/>
                      <w:szCs w:val="18"/>
                      <w:highlight w:val="none"/>
                      <w:vertAlign w:val="baseline"/>
                      <w:lang w:val="en-US" w:eastAsia="zh-CN"/>
                    </w:rPr>
                    <w:t>51.1875</w:t>
                  </w:r>
                </w:p>
              </w:tc>
              <w:tc>
                <w:tcPr>
                  <w:tcW w:w="87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w:t>
                  </w:r>
                </w:p>
              </w:tc>
              <w:tc>
                <w:tcPr>
                  <w:tcW w:w="589"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SA"/>
                    </w:rPr>
                  </w:pPr>
                  <w:r>
                    <w:rPr>
                      <w:rFonts w:hint="eastAsia" w:ascii="Times New Roman" w:hAnsi="Times New Roman" w:eastAsia="宋体" w:cs="Times New Roman"/>
                      <w:color w:val="auto"/>
                      <w:kern w:val="0"/>
                      <w:sz w:val="18"/>
                      <w:szCs w:val="18"/>
                      <w:highlight w:val="none"/>
                      <w:vertAlign w:val="baseline"/>
                      <w:lang w:val="en-US" w:eastAsia="zh-CN" w:bidi="ar-SA"/>
                    </w:rPr>
                    <w:t>有组织</w:t>
                  </w:r>
                </w:p>
              </w:tc>
              <w:tc>
                <w:tcPr>
                  <w:tcW w:w="866"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SA"/>
                    </w:rPr>
                  </w:pPr>
                  <w:r>
                    <w:rPr>
                      <w:rFonts w:hint="eastAsia" w:ascii="Times New Roman" w:hAnsi="Times New Roman" w:eastAsia="宋体" w:cs="Times New Roman"/>
                      <w:color w:val="auto"/>
                      <w:kern w:val="0"/>
                      <w:sz w:val="18"/>
                      <w:szCs w:val="18"/>
                      <w:highlight w:val="none"/>
                      <w:vertAlign w:val="baseline"/>
                      <w:lang w:val="en-US" w:eastAsia="zh-CN" w:bidi="ar-SA"/>
                    </w:rPr>
                    <w:t>集气罩+布袋除尘</w:t>
                  </w:r>
                </w:p>
              </w:tc>
              <w:tc>
                <w:tcPr>
                  <w:tcW w:w="60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eastAsia" w:ascii="Times New Roman" w:hAnsi="Times New Roman" w:eastAsia="宋体" w:cs="Times New Roman"/>
                      <w:color w:val="auto"/>
                      <w:kern w:val="0"/>
                      <w:sz w:val="18"/>
                      <w:szCs w:val="18"/>
                      <w:highlight w:val="none"/>
                      <w:vertAlign w:val="baseline"/>
                      <w:lang w:val="en-US" w:eastAsia="zh-CN"/>
                    </w:rPr>
                    <w:t>99</w:t>
                  </w:r>
                </w:p>
              </w:tc>
              <w:tc>
                <w:tcPr>
                  <w:tcW w:w="701"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eastAsia" w:ascii="Times New Roman" w:hAnsi="Times New Roman" w:eastAsia="宋体" w:cs="Times New Roman"/>
                      <w:color w:val="auto"/>
                      <w:kern w:val="0"/>
                      <w:sz w:val="18"/>
                      <w:szCs w:val="18"/>
                      <w:highlight w:val="none"/>
                      <w:vertAlign w:val="baseline"/>
                      <w:lang w:val="en-US" w:eastAsia="zh-CN"/>
                    </w:rPr>
                    <w:t>是</w:t>
                  </w:r>
                </w:p>
              </w:tc>
              <w:tc>
                <w:tcPr>
                  <w:tcW w:w="675"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lang w:val="en-US" w:eastAsia="zh-CN"/>
                    </w:rPr>
                  </w:pPr>
                  <w:r>
                    <w:rPr>
                      <w:rFonts w:hint="eastAsia" w:ascii="Times New Roman" w:hAnsi="Times New Roman" w:cs="Times New Roman"/>
                      <w:color w:val="auto"/>
                      <w:kern w:val="0"/>
                      <w:sz w:val="18"/>
                      <w:szCs w:val="18"/>
                      <w:highlight w:val="none"/>
                      <w:vertAlign w:val="baseline"/>
                      <w:lang w:val="en-US" w:eastAsia="zh-CN"/>
                    </w:rPr>
                    <w:t>0.48</w:t>
                  </w:r>
                </w:p>
              </w:tc>
              <w:tc>
                <w:tcPr>
                  <w:tcW w:w="863"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10</w:t>
                  </w:r>
                </w:p>
              </w:tc>
              <w:tc>
                <w:tcPr>
                  <w:tcW w:w="72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DA001</w:t>
                  </w:r>
                </w:p>
              </w:tc>
              <w:tc>
                <w:tcPr>
                  <w:tcW w:w="664" w:type="dxa"/>
                  <w:vMerge w:val="continue"/>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highlight w:val="none"/>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continue"/>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s="Times New Roman"/>
                      <w:color w:val="auto"/>
                      <w:kern w:val="0"/>
                      <w:sz w:val="18"/>
                      <w:szCs w:val="18"/>
                      <w:highlight w:val="none"/>
                      <w:vertAlign w:val="baseline"/>
                      <w:lang w:val="en-US" w:eastAsia="zh-CN"/>
                    </w:rPr>
                  </w:pPr>
                </w:p>
              </w:tc>
              <w:tc>
                <w:tcPr>
                  <w:tcW w:w="596"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lang w:val="en-US" w:eastAsia="zh-CN"/>
                    </w:rPr>
                  </w:pPr>
                  <w:r>
                    <w:rPr>
                      <w:rFonts w:hint="eastAsia" w:ascii="Times New Roman" w:hAnsi="Times New Roman" w:cs="Times New Roman"/>
                      <w:color w:val="auto"/>
                      <w:kern w:val="0"/>
                      <w:sz w:val="18"/>
                      <w:szCs w:val="18"/>
                      <w:highlight w:val="none"/>
                      <w:vertAlign w:val="baseline"/>
                      <w:lang w:val="en-US" w:eastAsia="zh-CN"/>
                    </w:rPr>
                    <w:t>粉尘</w:t>
                  </w:r>
                </w:p>
              </w:tc>
              <w:tc>
                <w:tcPr>
                  <w:tcW w:w="84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5.6875</w:t>
                  </w:r>
                </w:p>
              </w:tc>
              <w:tc>
                <w:tcPr>
                  <w:tcW w:w="87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w:t>
                  </w:r>
                </w:p>
              </w:tc>
              <w:tc>
                <w:tcPr>
                  <w:tcW w:w="589"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highlight w:val="none"/>
                      <w:vertAlign w:val="baseline"/>
                      <w:lang w:eastAsia="zh-CN"/>
                    </w:rPr>
                  </w:pPr>
                  <w:r>
                    <w:rPr>
                      <w:rFonts w:hint="eastAsia" w:ascii="Times New Roman" w:hAnsi="Times New Roman" w:cs="Times New Roman"/>
                      <w:color w:val="auto"/>
                      <w:kern w:val="0"/>
                      <w:sz w:val="18"/>
                      <w:szCs w:val="18"/>
                      <w:highlight w:val="none"/>
                      <w:vertAlign w:val="baseline"/>
                      <w:lang w:eastAsia="zh-CN"/>
                    </w:rPr>
                    <w:t>无组织</w:t>
                  </w:r>
                </w:p>
              </w:tc>
              <w:tc>
                <w:tcPr>
                  <w:tcW w:w="866"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lang w:val="en-US" w:eastAsia="zh-CN"/>
                    </w:rPr>
                  </w:pPr>
                  <w:r>
                    <w:rPr>
                      <w:rFonts w:hint="eastAsia" w:ascii="Times New Roman" w:hAnsi="Times New Roman" w:cs="Times New Roman"/>
                      <w:color w:val="auto"/>
                      <w:kern w:val="0"/>
                      <w:sz w:val="18"/>
                      <w:szCs w:val="18"/>
                      <w:highlight w:val="none"/>
                      <w:vertAlign w:val="baseline"/>
                      <w:lang w:val="en-US" w:eastAsia="zh-CN"/>
                    </w:rPr>
                    <w:t>全封闭，自然沉降</w:t>
                  </w:r>
                </w:p>
              </w:tc>
              <w:tc>
                <w:tcPr>
                  <w:tcW w:w="60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val="en-US" w:eastAsia="zh-CN" w:bidi="ar-SA"/>
                    </w:rPr>
                  </w:pPr>
                  <w:r>
                    <w:rPr>
                      <w:rFonts w:hint="eastAsia" w:cs="Times New Roman"/>
                      <w:color w:val="auto"/>
                      <w:kern w:val="0"/>
                      <w:sz w:val="18"/>
                      <w:szCs w:val="18"/>
                      <w:highlight w:val="none"/>
                      <w:vertAlign w:val="baseline"/>
                      <w:lang w:val="en-US" w:eastAsia="zh-CN"/>
                    </w:rPr>
                    <w:t>95</w:t>
                  </w:r>
                </w:p>
              </w:tc>
              <w:tc>
                <w:tcPr>
                  <w:tcW w:w="701"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highlight w:val="none"/>
                      <w:vertAlign w:val="baseline"/>
                      <w:lang w:val="en-US" w:eastAsia="zh-CN" w:bidi="ar-SA"/>
                    </w:rPr>
                  </w:pPr>
                  <w:r>
                    <w:rPr>
                      <w:rFonts w:hint="eastAsia" w:ascii="Times New Roman" w:hAnsi="Times New Roman" w:cs="Times New Roman"/>
                      <w:color w:val="auto"/>
                      <w:kern w:val="0"/>
                      <w:sz w:val="18"/>
                      <w:szCs w:val="18"/>
                      <w:highlight w:val="none"/>
                      <w:vertAlign w:val="baseline"/>
                      <w:lang w:eastAsia="zh-CN"/>
                    </w:rPr>
                    <w:t>是</w:t>
                  </w:r>
                </w:p>
              </w:tc>
              <w:tc>
                <w:tcPr>
                  <w:tcW w:w="675"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SA"/>
                    </w:rPr>
                  </w:pPr>
                  <w:r>
                    <w:rPr>
                      <w:rFonts w:hint="eastAsia" w:cs="Times New Roman"/>
                      <w:color w:val="auto"/>
                      <w:kern w:val="0"/>
                      <w:sz w:val="18"/>
                      <w:szCs w:val="18"/>
                      <w:highlight w:val="none"/>
                      <w:vertAlign w:val="baseline"/>
                      <w:lang w:val="en-US" w:eastAsia="zh-CN"/>
                    </w:rPr>
                    <w:t>0.3</w:t>
                  </w:r>
                </w:p>
              </w:tc>
              <w:tc>
                <w:tcPr>
                  <w:tcW w:w="863"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w:t>
                  </w:r>
                </w:p>
              </w:tc>
              <w:tc>
                <w:tcPr>
                  <w:tcW w:w="720" w:type="dxa"/>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val="en-US" w:eastAsia="zh-CN"/>
                    </w:rPr>
                    <w:t>/</w:t>
                  </w:r>
                </w:p>
              </w:tc>
              <w:tc>
                <w:tcPr>
                  <w:tcW w:w="664" w:type="dxa"/>
                  <w:vMerge w:val="continue"/>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highlight w:val="none"/>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36" w:type="dxa"/>
                  <w:gridSpan w:val="12"/>
                  <w:tcBorders>
                    <w:tl2br w:val="nil"/>
                    <w:tr2bl w:val="nil"/>
                  </w:tcBorders>
                  <w:noWrap w:val="0"/>
                  <w:tcMar>
                    <w:top w:w="0" w:type="dxa"/>
                    <w:left w:w="51" w:type="dxa"/>
                    <w:bottom w:w="0" w:type="dxa"/>
                    <w:right w:w="51"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highlight w:val="none"/>
                      <w:vertAlign w:val="baseline"/>
                      <w:lang w:val="en-US" w:eastAsia="zh-CN"/>
                    </w:rPr>
                  </w:pPr>
                  <w:r>
                    <w:rPr>
                      <w:rFonts w:hint="eastAsia" w:cs="Times New Roman"/>
                      <w:color w:val="auto"/>
                      <w:kern w:val="0"/>
                      <w:sz w:val="18"/>
                      <w:szCs w:val="18"/>
                      <w:highlight w:val="none"/>
                      <w:vertAlign w:val="baseline"/>
                      <w:lang w:eastAsia="zh-CN"/>
                    </w:rPr>
                    <w:t>综上，本项目污染物有组织排放情况为粉尘</w:t>
                  </w:r>
                  <w:r>
                    <w:rPr>
                      <w:rFonts w:hint="eastAsia" w:cs="Times New Roman"/>
                      <w:color w:val="auto"/>
                      <w:kern w:val="0"/>
                      <w:sz w:val="18"/>
                      <w:szCs w:val="18"/>
                      <w:highlight w:val="none"/>
                      <w:vertAlign w:val="baseline"/>
                      <w:lang w:val="en-US" w:eastAsia="zh-CN"/>
                    </w:rPr>
                    <w:t>0.48t/a，无组织排放情况为粉尘0.6t/a</w:t>
                  </w:r>
                </w:p>
              </w:tc>
            </w:tr>
          </w:tbl>
          <w:p>
            <w:pPr>
              <w:pStyle w:val="23"/>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jc w:val="both"/>
              <w:textAlignment w:val="auto"/>
              <w:rPr>
                <w:rFonts w:hint="eastAsia" w:ascii="Times New Roman" w:cs="Times New Roman"/>
                <w:b/>
                <w:bCs/>
                <w:color w:val="auto"/>
                <w:highlight w:val="none"/>
                <w:lang w:val="en-US" w:eastAsia="zh-CN"/>
              </w:rPr>
            </w:pPr>
            <w:r>
              <w:rPr>
                <w:rFonts w:hint="eastAsia" w:ascii="Times New Roman" w:cs="Times New Roman"/>
                <w:b/>
                <w:bCs/>
                <w:color w:val="auto"/>
                <w:highlight w:val="none"/>
                <w:lang w:val="en-US" w:eastAsia="zh-CN"/>
              </w:rPr>
              <w:t>1.4影响分析</w:t>
            </w:r>
          </w:p>
          <w:p>
            <w:pPr>
              <w:pStyle w:val="23"/>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项目主要污染物为粉尘，经布袋除尘器处理后，污染物排放浓度可控制在10mg/m</w:t>
            </w:r>
            <w:r>
              <w:rPr>
                <w:rFonts w:hint="eastAsia" w:ascii="Times New Roman" w:hAnsi="Times New Roman" w:cs="Times New Roman"/>
                <w:b w:val="0"/>
                <w:bCs w:val="0"/>
                <w:color w:val="auto"/>
                <w:highlight w:val="none"/>
                <w:vertAlign w:val="superscript"/>
                <w:lang w:val="en-US" w:eastAsia="zh-CN"/>
              </w:rPr>
              <w:t>3</w:t>
            </w:r>
            <w:r>
              <w:rPr>
                <w:rFonts w:hint="eastAsia" w:ascii="Times New Roman" w:hAnsi="Times New Roman" w:cs="Times New Roman"/>
                <w:b w:val="0"/>
                <w:bCs w:val="0"/>
                <w:color w:val="auto"/>
                <w:highlight w:val="none"/>
                <w:lang w:val="en-US" w:eastAsia="zh-CN"/>
              </w:rPr>
              <w:t>，满足《大气污染物排放标准》（GB16297-1996）中二级排放标准要求。因此，本项目废气对区域大气环境影响较小。</w:t>
            </w:r>
          </w:p>
          <w:p>
            <w:pPr>
              <w:pStyle w:val="23"/>
              <w:snapToGrid w:val="0"/>
              <w:spacing w:line="360" w:lineRule="auto"/>
              <w:ind w:firstLine="482" w:firstLineChars="200"/>
              <w:jc w:val="both"/>
              <w:rPr>
                <w:rFonts w:hint="eastAsia" w:ascii="Times New Roman" w:cs="Times New Roman"/>
                <w:b/>
                <w:bCs/>
                <w:color w:val="auto"/>
                <w:highlight w:val="none"/>
                <w:lang w:val="en-US" w:eastAsia="zh-CN"/>
              </w:rPr>
            </w:pPr>
            <w:r>
              <w:rPr>
                <w:rFonts w:hint="eastAsia" w:ascii="Times New Roman" w:cs="Times New Roman"/>
                <w:b/>
                <w:bCs/>
                <w:color w:val="auto"/>
                <w:highlight w:val="none"/>
                <w:lang w:val="en-US" w:eastAsia="zh-CN"/>
              </w:rPr>
              <w:t>1.5监测计划</w:t>
            </w:r>
          </w:p>
          <w:p>
            <w:pPr>
              <w:pStyle w:val="23"/>
              <w:snapToGrid w:val="0"/>
              <w:spacing w:line="360" w:lineRule="auto"/>
              <w:ind w:firstLine="480" w:firstLineChars="200"/>
              <w:jc w:val="both"/>
              <w:rPr>
                <w:rFonts w:hint="eastAsia" w:ascii="Times New Roman" w:eastAsia="宋体" w:cs="Times New Roman"/>
                <w:b/>
                <w:bCs/>
                <w:color w:val="auto"/>
                <w:highlight w:val="none"/>
                <w:lang w:val="en-US" w:eastAsia="zh-CN"/>
              </w:rPr>
            </w:pPr>
            <w:r>
              <w:rPr>
                <w:rFonts w:hint="eastAsia"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《排污许可证申请与核发技术规范  石墨及其他非金属矿物制品制造》</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GJ1119-2020</w:t>
            </w:r>
            <w:r>
              <w:rPr>
                <w:rFonts w:hint="eastAsia" w:ascii="Times New Roman" w:hAnsi="Times New Roman" w:eastAsia="宋体" w:cs="Times New Roman"/>
                <w:color w:val="auto"/>
                <w:sz w:val="24"/>
                <w:szCs w:val="24"/>
                <w:highlight w:val="none"/>
                <w:lang w:eastAsia="zh-CN"/>
              </w:rPr>
              <w:t>），本项目废气监测计划如下：</w:t>
            </w:r>
          </w:p>
          <w:p>
            <w:pPr>
              <w:adjustRightInd w:val="0"/>
              <w:snapToGrid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eastAsia" w:ascii="Times New Roman" w:hAnsi="Times New Roman" w:cs="Times New Roman"/>
                <w:b/>
                <w:bCs/>
                <w:color w:val="auto"/>
                <w:highlight w:val="none"/>
                <w:lang w:val="en-US" w:eastAsia="zh-CN"/>
              </w:rPr>
              <w:t>4-4</w:t>
            </w:r>
            <w:r>
              <w:rPr>
                <w:rFonts w:hint="default"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eastAsia="zh-CN"/>
              </w:rPr>
              <w:t>本项目废气监测计划</w:t>
            </w:r>
            <w:r>
              <w:rPr>
                <w:rFonts w:hint="default" w:ascii="Times New Roman" w:hAnsi="Times New Roman" w:cs="Times New Roman"/>
                <w:b/>
                <w:bCs/>
                <w:color w:val="auto"/>
                <w:highlight w:val="none"/>
              </w:rPr>
              <w:t>一览表</w:t>
            </w:r>
          </w:p>
          <w:tbl>
            <w:tblPr>
              <w:tblStyle w:val="24"/>
              <w:tblW w:w="495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39"/>
              <w:gridCol w:w="1151"/>
              <w:gridCol w:w="1147"/>
              <w:gridCol w:w="39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2"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监测点位</w:t>
                  </w:r>
                </w:p>
              </w:tc>
              <w:tc>
                <w:tcPr>
                  <w:tcW w:w="670"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监测因子</w:t>
                  </w:r>
                </w:p>
              </w:tc>
              <w:tc>
                <w:tcPr>
                  <w:tcW w:w="668"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监测频率</w:t>
                  </w:r>
                </w:p>
              </w:tc>
              <w:tc>
                <w:tcPr>
                  <w:tcW w:w="2298"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2"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布袋</w:t>
                  </w:r>
                  <w:r>
                    <w:rPr>
                      <w:rFonts w:hint="default" w:ascii="Times New Roman" w:hAnsi="Times New Roman" w:cs="Times New Roman"/>
                      <w:color w:val="auto"/>
                      <w:szCs w:val="21"/>
                      <w:highlight w:val="none"/>
                    </w:rPr>
                    <w:t>除尘器进出口</w:t>
                  </w:r>
                </w:p>
              </w:tc>
              <w:tc>
                <w:tcPr>
                  <w:tcW w:w="670"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668" w:type="pct"/>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每年1次</w:t>
                  </w:r>
                </w:p>
              </w:tc>
              <w:tc>
                <w:tcPr>
                  <w:tcW w:w="2298"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《大气污染物排放标准》二级标准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2"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厂界</w:t>
                  </w:r>
                  <w:r>
                    <w:rPr>
                      <w:rFonts w:hint="default" w:ascii="Times New Roman" w:hAnsi="Times New Roman" w:cs="Times New Roman"/>
                      <w:color w:val="auto"/>
                      <w:szCs w:val="21"/>
                      <w:highlight w:val="none"/>
                      <w:lang w:eastAsia="zh-CN"/>
                    </w:rPr>
                    <w:t>上风向</w:t>
                  </w:r>
                  <w:r>
                    <w:rPr>
                      <w:rFonts w:hint="default" w:ascii="Times New Roman" w:hAnsi="Times New Roman" w:cs="Times New Roman"/>
                      <w:color w:val="auto"/>
                      <w:szCs w:val="21"/>
                      <w:highlight w:val="none"/>
                      <w:lang w:val="en-US" w:eastAsia="zh-CN"/>
                    </w:rPr>
                    <w:t>1个对照点，下风向3个监控点</w:t>
                  </w:r>
                </w:p>
              </w:tc>
              <w:tc>
                <w:tcPr>
                  <w:tcW w:w="670"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668" w:type="pct"/>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2298"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《大气污染物排放标准》无组织排放限值</w:t>
                  </w:r>
                </w:p>
              </w:tc>
            </w:tr>
          </w:tbl>
          <w:p>
            <w:pPr>
              <w:pStyle w:val="23"/>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jc w:val="both"/>
              <w:textAlignment w:val="auto"/>
              <w:rPr>
                <w:rFonts w:hint="default" w:ascii="Times New Roman" w:cs="Times New Roman"/>
                <w:b/>
                <w:bCs/>
                <w:color w:val="auto"/>
                <w:highlight w:val="none"/>
                <w:lang w:val="en-US" w:eastAsia="zh-CN"/>
              </w:rPr>
            </w:pPr>
            <w:r>
              <w:rPr>
                <w:rFonts w:hint="eastAsia" w:ascii="Times New Roman" w:cs="Times New Roman"/>
                <w:b/>
                <w:bCs/>
                <w:color w:val="auto"/>
                <w:highlight w:val="none"/>
                <w:lang w:val="en-US" w:eastAsia="zh-CN"/>
              </w:rPr>
              <w:t>1.6评价结论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bookmarkStart w:id="13" w:name="_Toc406942323"/>
            <w:r>
              <w:rPr>
                <w:rFonts w:hint="default" w:ascii="Times New Roman" w:hAnsi="Times New Roman" w:cs="Times New Roman"/>
                <w:color w:val="auto"/>
                <w:sz w:val="24"/>
                <w:highlight w:val="none"/>
              </w:rPr>
              <w:t>根据繁峙县20</w:t>
            </w:r>
            <w:r>
              <w:rPr>
                <w:rFonts w:hint="eastAsia" w:cs="Times New Roman"/>
                <w:color w:val="auto"/>
                <w:sz w:val="24"/>
                <w:highlight w:val="none"/>
                <w:lang w:val="en-US" w:eastAsia="zh-CN"/>
              </w:rPr>
              <w:t>21</w:t>
            </w:r>
            <w:r>
              <w:rPr>
                <w:rFonts w:hint="default" w:ascii="Times New Roman" w:hAnsi="Times New Roman" w:cs="Times New Roman"/>
                <w:color w:val="auto"/>
                <w:kern w:val="0"/>
                <w:sz w:val="24"/>
                <w:highlight w:val="none"/>
              </w:rPr>
              <w:t>年全年例行</w:t>
            </w:r>
            <w:r>
              <w:rPr>
                <w:rFonts w:hint="default" w:ascii="Times New Roman" w:hAnsi="Times New Roman" w:cs="Times New Roman"/>
                <w:color w:val="auto"/>
                <w:sz w:val="24"/>
                <w:highlight w:val="none"/>
              </w:rPr>
              <w:t>监测数据，区域环境空气质量不达标，根据补充监测数据，评价范围内TSP浓度满足相关标准；项目主要污染物为粉尘，经布袋除尘器处理后，污染物排放浓度满足《大气污染物排放标准》（GB16297-1996）中二级排放标准要求</w:t>
            </w:r>
            <w:r>
              <w:rPr>
                <w:rFonts w:hint="eastAsia" w:cs="Times New Roman"/>
                <w:color w:val="auto"/>
                <w:sz w:val="24"/>
                <w:highlight w:val="none"/>
                <w:lang w:eastAsia="zh-CN"/>
              </w:rPr>
              <w:t>，</w:t>
            </w:r>
            <w:r>
              <w:rPr>
                <w:rFonts w:hint="eastAsia" w:cs="Times New Roman"/>
                <w:color w:val="auto"/>
                <w:sz w:val="24"/>
                <w:highlight w:val="none"/>
                <w:lang w:val="en-US" w:eastAsia="zh-CN"/>
              </w:rPr>
              <w:t>不会对区域环境空气保护目标造成影响</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因此，</w:t>
            </w:r>
            <w:bookmarkEnd w:id="13"/>
            <w:r>
              <w:rPr>
                <w:rFonts w:hint="default" w:ascii="Times New Roman" w:hAnsi="Times New Roman" w:cs="Times New Roman"/>
                <w:color w:val="auto"/>
                <w:sz w:val="24"/>
                <w:highlight w:val="none"/>
              </w:rPr>
              <w:t>从环境空气角度出发，本项目建设是可接受的。</w:t>
            </w:r>
          </w:p>
          <w:p>
            <w:pPr>
              <w:pStyle w:val="18"/>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textAlignment w:val="auto"/>
              <w:rPr>
                <w:rFonts w:hint="eastAsia" w:ascii="Times New Roman" w:hAnsi="Times New Roman" w:eastAsia="宋体" w:cs="Times New Roman"/>
                <w:b/>
                <w:color w:val="auto"/>
                <w:sz w:val="24"/>
                <w:szCs w:val="24"/>
                <w:highlight w:val="none"/>
                <w:lang w:eastAsia="zh-CN"/>
              </w:rPr>
            </w:pPr>
            <w:r>
              <w:rPr>
                <w:rFonts w:hint="default" w:ascii="Times New Roman" w:hAnsi="Times New Roman" w:cs="Times New Roman"/>
                <w:b/>
                <w:color w:val="auto"/>
                <w:sz w:val="24"/>
                <w:szCs w:val="24"/>
                <w:highlight w:val="none"/>
              </w:rPr>
              <w:t>2、</w:t>
            </w:r>
            <w:r>
              <w:rPr>
                <w:rFonts w:hint="eastAsia" w:cs="Times New Roman"/>
                <w:b/>
                <w:color w:val="auto"/>
                <w:sz w:val="24"/>
                <w:szCs w:val="24"/>
                <w:highlight w:val="none"/>
                <w:lang w:eastAsia="zh-CN"/>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2.1</w:t>
            </w:r>
            <w:r>
              <w:rPr>
                <w:rFonts w:hint="eastAsia" w:cs="Times New Roman"/>
                <w:b/>
                <w:color w:val="auto"/>
                <w:sz w:val="24"/>
                <w:highlight w:val="none"/>
                <w:lang w:eastAsia="zh-CN"/>
              </w:rPr>
              <w:t>废</w:t>
            </w:r>
            <w:r>
              <w:rPr>
                <w:rFonts w:hint="default" w:ascii="Times New Roman" w:hAnsi="Times New Roman" w:cs="Times New Roman"/>
                <w:b/>
                <w:color w:val="auto"/>
                <w:sz w:val="24"/>
                <w:highlight w:val="none"/>
              </w:rPr>
              <w:t>水污染源分析</w:t>
            </w:r>
          </w:p>
          <w:p>
            <w:pPr>
              <w:pStyle w:val="44"/>
              <w:keepNext w:val="0"/>
              <w:keepLines w:val="0"/>
              <w:pageBreakBefore w:val="0"/>
              <w:widowControl w:val="0"/>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szCs w:val="24"/>
                <w:highlight w:val="none"/>
              </w:rPr>
            </w:pPr>
            <w:r>
              <w:rPr>
                <w:rFonts w:hint="default" w:ascii="Times New Roman" w:hAnsi="Times New Roman" w:cs="Times New Roman"/>
                <w:bCs/>
                <w:color w:val="auto"/>
                <w:highlight w:val="none"/>
              </w:rPr>
              <w:t>根据水平衡分析，项目废水包括</w:t>
            </w:r>
            <w:r>
              <w:rPr>
                <w:rFonts w:hint="eastAsia" w:cs="Times New Roman"/>
                <w:bCs/>
                <w:color w:val="auto"/>
                <w:highlight w:val="none"/>
                <w:lang w:val="en-US" w:eastAsia="zh-CN"/>
              </w:rPr>
              <w:t>设备及模具清洗废水、汽车</w:t>
            </w:r>
            <w:r>
              <w:rPr>
                <w:rFonts w:hint="default" w:ascii="Times New Roman" w:hAnsi="Times New Roman" w:cs="Times New Roman"/>
                <w:bCs/>
                <w:color w:val="auto"/>
                <w:highlight w:val="none"/>
              </w:rPr>
              <w:t>平台废水及生活污水。</w:t>
            </w:r>
            <w:r>
              <w:rPr>
                <w:rFonts w:hint="default" w:ascii="Times New Roman" w:hAnsi="Times New Roman" w:cs="Times New Roman"/>
                <w:color w:val="auto"/>
                <w:szCs w:val="24"/>
                <w:highlight w:val="none"/>
              </w:rPr>
              <w:t>其中</w:t>
            </w:r>
            <w:r>
              <w:rPr>
                <w:rFonts w:hint="eastAsia" w:cs="Times New Roman"/>
                <w:color w:val="auto"/>
                <w:szCs w:val="24"/>
                <w:highlight w:val="none"/>
                <w:lang w:val="en-US" w:eastAsia="zh-CN"/>
              </w:rPr>
              <w:t>设备及模具清洗废水设收集池，经沉淀后返回于生产；洗车</w:t>
            </w:r>
            <w:r>
              <w:rPr>
                <w:rFonts w:hint="default" w:ascii="Times New Roman" w:hAnsi="Times New Roman" w:cs="Times New Roman"/>
                <w:color w:val="auto"/>
                <w:szCs w:val="24"/>
                <w:highlight w:val="none"/>
              </w:rPr>
              <w:t>平台设循环水池，循环使用；生活污水用于厂区洒水抑尘，不外排。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color w:val="auto"/>
                <w:sz w:val="24"/>
                <w:highlight w:val="none"/>
                <w:lang w:eastAsia="zh-CN"/>
              </w:rPr>
            </w:pPr>
            <w:r>
              <w:rPr>
                <w:rFonts w:hint="default" w:ascii="Times New Roman" w:hAnsi="Times New Roman" w:cs="Times New Roman"/>
                <w:b/>
                <w:color w:val="auto"/>
                <w:sz w:val="24"/>
                <w:highlight w:val="none"/>
              </w:rPr>
              <w:t>2.2</w:t>
            </w:r>
            <w:r>
              <w:rPr>
                <w:rFonts w:hint="eastAsia" w:cs="Times New Roman"/>
                <w:b/>
                <w:color w:val="auto"/>
                <w:sz w:val="24"/>
                <w:highlight w:val="none"/>
                <w:lang w:eastAsia="zh-CN"/>
              </w:rPr>
              <w:t>废水污染防治措施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z w:val="24"/>
                <w:highlight w:val="none"/>
                <w:lang w:eastAsia="zh-CN"/>
              </w:rPr>
            </w:pPr>
            <w:r>
              <w:rPr>
                <w:rFonts w:hint="eastAsia" w:cs="Times New Roman"/>
                <w:bCs/>
                <w:color w:val="auto"/>
                <w:sz w:val="24"/>
                <w:highlight w:val="none"/>
                <w:lang w:eastAsia="zh-CN"/>
              </w:rPr>
              <w:t>本项目废水产排及污染防治措施情况如下表：</w:t>
            </w:r>
          </w:p>
          <w:p>
            <w:pPr>
              <w:pStyle w:val="2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b/>
                <w:bCs w:val="0"/>
                <w:color w:val="auto"/>
                <w:sz w:val="21"/>
                <w:szCs w:val="21"/>
                <w:highlight w:val="none"/>
                <w:lang w:val="en-US" w:eastAsia="zh-CN"/>
              </w:rPr>
            </w:pPr>
            <w:r>
              <w:rPr>
                <w:rFonts w:hint="eastAsia" w:cs="Times New Roman"/>
                <w:b/>
                <w:bCs w:val="0"/>
                <w:color w:val="auto"/>
                <w:sz w:val="21"/>
                <w:szCs w:val="21"/>
                <w:highlight w:val="none"/>
                <w:lang w:eastAsia="zh-CN"/>
              </w:rPr>
              <w:t>表</w:t>
            </w:r>
            <w:r>
              <w:rPr>
                <w:rFonts w:hint="eastAsia" w:cs="Times New Roman"/>
                <w:b/>
                <w:bCs w:val="0"/>
                <w:color w:val="auto"/>
                <w:sz w:val="21"/>
                <w:szCs w:val="21"/>
                <w:highlight w:val="none"/>
                <w:lang w:val="en-US" w:eastAsia="zh-CN"/>
              </w:rPr>
              <w:t>4-5 本项目废水治理措施一览表</w:t>
            </w:r>
          </w:p>
          <w:tbl>
            <w:tblPr>
              <w:tblStyle w:val="25"/>
              <w:tblW w:w="86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975"/>
              <w:gridCol w:w="1137"/>
              <w:gridCol w:w="1392"/>
              <w:gridCol w:w="1350"/>
              <w:gridCol w:w="1500"/>
              <w:gridCol w:w="9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废水类别</w:t>
                  </w:r>
                </w:p>
              </w:tc>
              <w:tc>
                <w:tcPr>
                  <w:tcW w:w="9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污染物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种类</w:t>
                  </w:r>
                </w:p>
              </w:tc>
              <w:tc>
                <w:tcPr>
                  <w:tcW w:w="113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产生量</w:t>
                  </w:r>
                </w:p>
              </w:tc>
              <w:tc>
                <w:tcPr>
                  <w:tcW w:w="274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rPr>
                  </w:pPr>
                  <w:r>
                    <w:rPr>
                      <w:rFonts w:hint="eastAsia" w:cs="Times New Roman"/>
                      <w:bCs/>
                      <w:color w:val="auto"/>
                      <w:sz w:val="21"/>
                      <w:szCs w:val="21"/>
                      <w:highlight w:val="none"/>
                      <w:vertAlign w:val="baseline"/>
                      <w:lang w:eastAsia="zh-CN"/>
                    </w:rPr>
                    <w:t>污染治理设施</w:t>
                  </w:r>
                </w:p>
              </w:tc>
              <w:tc>
                <w:tcPr>
                  <w:tcW w:w="15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排放去向</w:t>
                  </w:r>
                </w:p>
              </w:tc>
              <w:tc>
                <w:tcPr>
                  <w:tcW w:w="97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p>
              </w:tc>
              <w:tc>
                <w:tcPr>
                  <w:tcW w:w="9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p>
              </w:tc>
              <w:tc>
                <w:tcPr>
                  <w:tcW w:w="11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rPr>
                  </w:pP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治理设施工艺及名称</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是否为可行技术</w:t>
                  </w:r>
                </w:p>
              </w:tc>
              <w:tc>
                <w:tcPr>
                  <w:tcW w:w="15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rPr>
                  </w:pPr>
                </w:p>
              </w:tc>
              <w:tc>
                <w:tcPr>
                  <w:tcW w:w="9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rPr>
                  </w:pPr>
                  <w:r>
                    <w:rPr>
                      <w:rFonts w:hint="eastAsia" w:cs="Times New Roman"/>
                      <w:bCs/>
                      <w:color w:val="auto"/>
                      <w:sz w:val="21"/>
                      <w:szCs w:val="21"/>
                      <w:highlight w:val="none"/>
                      <w:vertAlign w:val="baseline"/>
                      <w:lang w:val="en-US" w:eastAsia="zh-CN"/>
                    </w:rPr>
                    <w:t>设备及模具清洗</w:t>
                  </w:r>
                  <w:r>
                    <w:rPr>
                      <w:rFonts w:hint="eastAsia" w:cs="Times New Roman"/>
                      <w:bCs/>
                      <w:color w:val="auto"/>
                      <w:sz w:val="21"/>
                      <w:szCs w:val="21"/>
                      <w:highlight w:val="none"/>
                      <w:vertAlign w:val="baseline"/>
                      <w:lang w:eastAsia="zh-CN"/>
                    </w:rPr>
                    <w:t>废水</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rPr>
                  </w:pPr>
                  <w:r>
                    <w:rPr>
                      <w:rFonts w:hint="eastAsia" w:cs="Times New Roman"/>
                      <w:bCs/>
                      <w:color w:val="auto"/>
                      <w:sz w:val="21"/>
                      <w:szCs w:val="21"/>
                      <w:highlight w:val="none"/>
                      <w:vertAlign w:val="baseline"/>
                      <w:lang w:eastAsia="zh-CN"/>
                    </w:rPr>
                    <w:t>废水量</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1.6m</w:t>
                  </w:r>
                  <w:r>
                    <w:rPr>
                      <w:rFonts w:hint="eastAsia" w:cs="Times New Roman"/>
                      <w:bCs/>
                      <w:color w:val="auto"/>
                      <w:sz w:val="21"/>
                      <w:szCs w:val="21"/>
                      <w:highlight w:val="none"/>
                      <w:vertAlign w:val="superscript"/>
                      <w:lang w:val="en-US" w:eastAsia="zh-CN"/>
                    </w:rPr>
                    <w:t>3</w:t>
                  </w:r>
                  <w:r>
                    <w:rPr>
                      <w:rFonts w:hint="eastAsia" w:cs="Times New Roman"/>
                      <w:bCs/>
                      <w:color w:val="auto"/>
                      <w:sz w:val="21"/>
                      <w:szCs w:val="21"/>
                      <w:highlight w:val="none"/>
                      <w:vertAlign w:val="baseline"/>
                      <w:lang w:val="en-US" w:eastAsia="zh-CN"/>
                    </w:rPr>
                    <w:t>/d</w:t>
                  </w: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沉淀池</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是</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全部回用</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洗车废水</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废水量</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1.76m</w:t>
                  </w:r>
                  <w:r>
                    <w:rPr>
                      <w:rFonts w:hint="eastAsia" w:cs="Times New Roman"/>
                      <w:bCs/>
                      <w:color w:val="auto"/>
                      <w:sz w:val="21"/>
                      <w:szCs w:val="21"/>
                      <w:highlight w:val="none"/>
                      <w:vertAlign w:val="superscript"/>
                      <w:lang w:val="en-US" w:eastAsia="zh-CN"/>
                    </w:rPr>
                    <w:t>3</w:t>
                  </w:r>
                  <w:r>
                    <w:rPr>
                      <w:rFonts w:hint="eastAsia" w:cs="Times New Roman"/>
                      <w:bCs/>
                      <w:color w:val="auto"/>
                      <w:sz w:val="21"/>
                      <w:szCs w:val="21"/>
                      <w:highlight w:val="none"/>
                      <w:vertAlign w:val="baseline"/>
                      <w:lang w:val="en-US" w:eastAsia="zh-CN"/>
                    </w:rPr>
                    <w:t>/d</w:t>
                  </w: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沉淀池</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是</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全部回用</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生活污水</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废水量</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0.24m</w:t>
                  </w:r>
                  <w:r>
                    <w:rPr>
                      <w:rFonts w:hint="eastAsia" w:cs="Times New Roman"/>
                      <w:bCs/>
                      <w:color w:val="auto"/>
                      <w:sz w:val="21"/>
                      <w:szCs w:val="21"/>
                      <w:highlight w:val="none"/>
                      <w:vertAlign w:val="superscript"/>
                      <w:lang w:val="en-US" w:eastAsia="zh-CN"/>
                    </w:rPr>
                    <w:t>3</w:t>
                  </w:r>
                  <w:r>
                    <w:rPr>
                      <w:rFonts w:hint="eastAsia" w:cs="Times New Roman"/>
                      <w:bCs/>
                      <w:color w:val="auto"/>
                      <w:sz w:val="21"/>
                      <w:szCs w:val="21"/>
                      <w:highlight w:val="none"/>
                      <w:vertAlign w:val="baseline"/>
                      <w:lang w:val="en-US" w:eastAsia="zh-CN"/>
                    </w:rPr>
                    <w:t>/d</w:t>
                  </w: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用于厂区洒水</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初期雨水</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废水量</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45.8m</w:t>
                  </w:r>
                  <w:r>
                    <w:rPr>
                      <w:rFonts w:hint="eastAsia" w:cs="Times New Roman"/>
                      <w:bCs/>
                      <w:color w:val="auto"/>
                      <w:sz w:val="21"/>
                      <w:szCs w:val="21"/>
                      <w:highlight w:val="none"/>
                      <w:vertAlign w:val="superscript"/>
                      <w:lang w:val="en-US" w:eastAsia="zh-CN"/>
                    </w:rPr>
                    <w:t>3</w:t>
                  </w:r>
                  <w:r>
                    <w:rPr>
                      <w:rFonts w:hint="eastAsia" w:cs="Times New Roman"/>
                      <w:bCs/>
                      <w:color w:val="auto"/>
                      <w:sz w:val="21"/>
                      <w:szCs w:val="21"/>
                      <w:highlight w:val="none"/>
                      <w:vertAlign w:val="baseline"/>
                      <w:lang w:val="en-US" w:eastAsia="zh-CN"/>
                    </w:rPr>
                    <w:t>/次</w:t>
                  </w: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雨水收集池</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是</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用于厂区洒水</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cs="Times New Roman"/>
                <w:b/>
                <w:color w:val="auto"/>
                <w:sz w:val="24"/>
                <w:highlight w:val="none"/>
              </w:rPr>
              <w:t>2.3污染控制措施有效性</w:t>
            </w:r>
            <w:r>
              <w:rPr>
                <w:rFonts w:hint="eastAsia" w:cs="Times New Roman"/>
                <w:b/>
                <w:color w:val="auto"/>
                <w:sz w:val="24"/>
                <w:highlight w:val="none"/>
                <w:lang w:eastAsia="zh-CN"/>
              </w:rPr>
              <w:t>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eastAsia" w:cs="Times New Roman"/>
                <w:color w:val="auto"/>
                <w:sz w:val="24"/>
                <w:highlight w:val="none"/>
                <w:lang w:val="en-US" w:eastAsia="zh-CN"/>
              </w:rPr>
              <w:t>设备及模具清洗</w:t>
            </w:r>
            <w:r>
              <w:rPr>
                <w:rFonts w:hint="default" w:ascii="Times New Roman" w:hAnsi="Times New Roman" w:cs="Times New Roman"/>
                <w:color w:val="auto"/>
                <w:sz w:val="24"/>
                <w:highlight w:val="none"/>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根据水平衡分析可知，设备及模具清洗废水产生量为1.6m</w:t>
            </w:r>
            <w:r>
              <w:rPr>
                <w:rFonts w:hint="eastAsia" w:cs="Times New Roman"/>
                <w:bCs/>
                <w:color w:val="auto"/>
                <w:sz w:val="24"/>
                <w:highlight w:val="none"/>
                <w:vertAlign w:val="superscript"/>
                <w:lang w:val="en-US" w:eastAsia="zh-CN"/>
              </w:rPr>
              <w:t>3</w:t>
            </w:r>
            <w:r>
              <w:rPr>
                <w:rFonts w:hint="eastAsia" w:cs="Times New Roman"/>
                <w:bCs/>
                <w:color w:val="auto"/>
                <w:sz w:val="24"/>
                <w:highlight w:val="none"/>
                <w:lang w:val="en-US" w:eastAsia="zh-CN"/>
              </w:rPr>
              <w:t>/d，项目配套设1座容积为10m</w:t>
            </w:r>
            <w:r>
              <w:rPr>
                <w:rFonts w:hint="eastAsia" w:cs="Times New Roman"/>
                <w:bCs/>
                <w:color w:val="auto"/>
                <w:sz w:val="24"/>
                <w:highlight w:val="none"/>
                <w:vertAlign w:val="superscript"/>
                <w:lang w:val="en-US" w:eastAsia="zh-CN"/>
              </w:rPr>
              <w:t>3</w:t>
            </w:r>
            <w:r>
              <w:rPr>
                <w:rFonts w:hint="eastAsia" w:cs="Times New Roman"/>
                <w:bCs/>
                <w:color w:val="auto"/>
                <w:sz w:val="24"/>
                <w:highlight w:val="none"/>
                <w:lang w:val="en-US" w:eastAsia="zh-CN"/>
              </w:rPr>
              <w:t>收集池，可满足废水收集，同时，清洗过程中不添加清洗剂，主要污染物为SS，经沉淀后可重复使用，保证废水不外排。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（2）洗车废水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洗车平台废水产生量</w:t>
            </w:r>
            <w:r>
              <w:rPr>
                <w:rFonts w:hint="eastAsia" w:cs="Times New Roman"/>
                <w:bCs/>
                <w:color w:val="auto"/>
                <w:sz w:val="24"/>
                <w:highlight w:val="none"/>
                <w:lang w:val="en-US" w:eastAsia="zh-CN"/>
              </w:rPr>
              <w:t>1.76</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/d，经</w:t>
            </w:r>
            <w:r>
              <w:rPr>
                <w:rFonts w:hint="eastAsia" w:cs="Times New Roman"/>
                <w:bCs/>
                <w:color w:val="auto"/>
                <w:sz w:val="24"/>
                <w:highlight w:val="none"/>
                <w:lang w:val="en-US" w:eastAsia="zh-CN"/>
              </w:rPr>
              <w:t>1</w:t>
            </w:r>
            <w:r>
              <w:rPr>
                <w:rFonts w:hint="default" w:ascii="Times New Roman" w:hAnsi="Times New Roman" w:cs="Times New Roman"/>
                <w:bCs/>
                <w:color w:val="auto"/>
                <w:sz w:val="24"/>
                <w:highlight w:val="none"/>
              </w:rPr>
              <w:t>0m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沉淀池沉淀后循环利用，沉淀池容积能够满足一天的废水处理量，能够满足</w:t>
            </w:r>
            <w:r>
              <w:rPr>
                <w:rFonts w:hint="eastAsia" w:cs="Times New Roman"/>
                <w:bCs/>
                <w:color w:val="auto"/>
                <w:sz w:val="24"/>
                <w:highlight w:val="none"/>
                <w:lang w:val="en-US" w:eastAsia="zh-CN"/>
              </w:rPr>
              <w:t>储存</w:t>
            </w:r>
            <w:r>
              <w:rPr>
                <w:rFonts w:hint="default" w:ascii="Times New Roman" w:hAnsi="Times New Roman" w:cs="Times New Roman"/>
                <w:bCs/>
                <w:color w:val="auto"/>
                <w:sz w:val="24"/>
                <w:highlight w:val="none"/>
              </w:rPr>
              <w:t>要求</w:t>
            </w:r>
            <w:r>
              <w:rPr>
                <w:rFonts w:hint="eastAsia" w:cs="Times New Roman"/>
                <w:bCs/>
                <w:color w:val="auto"/>
                <w:sz w:val="24"/>
                <w:highlight w:val="none"/>
                <w:lang w:eastAsia="zh-CN"/>
              </w:rPr>
              <w:t>，</w:t>
            </w:r>
            <w:r>
              <w:rPr>
                <w:rFonts w:hint="eastAsia" w:cs="Times New Roman"/>
                <w:bCs/>
                <w:color w:val="auto"/>
                <w:sz w:val="24"/>
                <w:highlight w:val="none"/>
                <w:lang w:val="en-US" w:eastAsia="zh-CN"/>
              </w:rPr>
              <w:t>保证废水不外排</w:t>
            </w:r>
            <w:r>
              <w:rPr>
                <w:rFonts w:hint="default" w:ascii="Times New Roman" w:hAnsi="Times New Roman" w:cs="Times New Roman"/>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项目劳动定员</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rPr>
              <w:t>人，不在场内食宿，生活污水主要为</w:t>
            </w:r>
            <w:r>
              <w:rPr>
                <w:rFonts w:hint="eastAsia" w:cs="Times New Roman"/>
                <w:color w:val="auto"/>
                <w:sz w:val="24"/>
                <w:highlight w:val="none"/>
                <w:lang w:eastAsia="zh-CN"/>
              </w:rPr>
              <w:t>职工盥洗</w:t>
            </w:r>
            <w:r>
              <w:rPr>
                <w:rFonts w:hint="default" w:ascii="Times New Roman" w:hAnsi="Times New Roman" w:cs="Times New Roman"/>
                <w:color w:val="auto"/>
                <w:sz w:val="24"/>
                <w:highlight w:val="none"/>
              </w:rPr>
              <w:t>水，废水产生量0.</w:t>
            </w:r>
            <w:r>
              <w:rPr>
                <w:rFonts w:hint="eastAsia" w:cs="Times New Roman"/>
                <w:color w:val="auto"/>
                <w:sz w:val="24"/>
                <w:highlight w:val="none"/>
                <w:lang w:val="en-US" w:eastAsia="zh-CN"/>
              </w:rPr>
              <w:t>24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/d，水质简单，水量较少，不设置污水收集装置，直接用于</w:t>
            </w:r>
            <w:r>
              <w:rPr>
                <w:rFonts w:hint="eastAsia" w:cs="Times New Roman"/>
                <w:color w:val="auto"/>
                <w:sz w:val="24"/>
                <w:highlight w:val="none"/>
                <w:lang w:eastAsia="zh-CN"/>
              </w:rPr>
              <w:t>场地</w:t>
            </w:r>
            <w:r>
              <w:rPr>
                <w:rFonts w:hint="default" w:ascii="Times New Roman" w:hAnsi="Times New Roman" w:cs="Times New Roman"/>
                <w:color w:val="auto"/>
                <w:sz w:val="24"/>
                <w:highlight w:val="none"/>
              </w:rPr>
              <w:t>洒水抑尘。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根据项目水平衡可知，项目绿化用水量0.75m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/d，生活废水产生量0.24m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/d，产生量很小，可保证废水全部综合利用，不外排；采暖期，厂区场地洒水量约0.3m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/d，可完全消纳生活污水，保证废水不外排。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综上，项目生活污水产生量很小，厂区洒水可完全消纳，保证废水不外排。</w:t>
            </w:r>
          </w:p>
          <w:p>
            <w:pPr>
              <w:keepNext w:val="0"/>
              <w:keepLines w:val="0"/>
              <w:pageBreakBefore w:val="0"/>
              <w:kinsoku/>
              <w:overflowPunct/>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4</w:t>
            </w:r>
            <w:r>
              <w:rPr>
                <w:rFonts w:hint="default" w:ascii="Times New Roman" w:hAnsi="Times New Roman" w:cs="Times New Roman"/>
                <w:bCs/>
                <w:color w:val="auto"/>
                <w:sz w:val="24"/>
                <w:highlight w:val="none"/>
                <w:lang w:eastAsia="zh-CN"/>
              </w:rPr>
              <w:t>）初期雨水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highlight w:val="none"/>
                <w:lang w:eastAsia="zh-CN"/>
              </w:rPr>
              <w:t>经计算，初期雨水产生量</w:t>
            </w:r>
            <w:r>
              <w:rPr>
                <w:rFonts w:hint="eastAsia" w:ascii="Times New Roman" w:hAnsi="Times New Roman" w:cs="Times New Roman"/>
                <w:color w:val="auto"/>
                <w:sz w:val="24"/>
                <w:szCs w:val="24"/>
                <w:highlight w:val="none"/>
                <w:lang w:val="en-US" w:eastAsia="zh-CN"/>
              </w:rPr>
              <w:t>45.8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环评要求设置</w:t>
            </w:r>
            <w:r>
              <w:rPr>
                <w:rFonts w:hint="default" w:ascii="Times New Roman" w:hAnsi="Times New Roman" w:cs="Times New Roman"/>
                <w:color w:val="auto"/>
                <w:sz w:val="24"/>
                <w:szCs w:val="24"/>
                <w:highlight w:val="none"/>
                <w:lang w:val="en-US" w:eastAsia="zh-CN"/>
              </w:rPr>
              <w:t>1座</w:t>
            </w:r>
            <w:r>
              <w:rPr>
                <w:rFonts w:hint="default" w:ascii="Times New Roman" w:hAnsi="Times New Roman" w:cs="Times New Roman"/>
                <w:color w:val="auto"/>
                <w:sz w:val="24"/>
                <w:szCs w:val="24"/>
                <w:highlight w:val="none"/>
              </w:rPr>
              <w:t>容积为</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vertAlign w:val="baseline"/>
                <w:lang w:eastAsia="zh-CN"/>
              </w:rPr>
              <w:t>收集池</w:t>
            </w:r>
            <w:r>
              <w:rPr>
                <w:rFonts w:hint="default" w:ascii="Times New Roman" w:hAnsi="Times New Roman" w:cs="Times New Roman"/>
                <w:color w:val="auto"/>
                <w:sz w:val="24"/>
                <w:szCs w:val="24"/>
                <w:highlight w:val="none"/>
              </w:rPr>
              <w:t>，经收集后用于厂区洒水抑尘。</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color w:val="auto"/>
                <w:highlight w:val="none"/>
                <w:lang w:val="en-US" w:eastAsia="zh-CN"/>
              </w:rPr>
            </w:pPr>
            <w:r>
              <w:rPr>
                <w:rFonts w:hint="eastAsia" w:cs="Times New Roman"/>
                <w:b/>
                <w:bCs/>
                <w:color w:val="auto"/>
                <w:sz w:val="24"/>
                <w:highlight w:val="none"/>
                <w:lang w:val="en-US" w:eastAsia="zh-CN"/>
              </w:rPr>
              <w:t>2.4排放口设置情况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val="en-US" w:eastAsia="zh-CN"/>
              </w:rPr>
            </w:pPr>
            <w:r>
              <w:rPr>
                <w:rFonts w:hint="eastAsia" w:cs="Times New Roman"/>
                <w:b w:val="0"/>
                <w:bCs w:val="0"/>
                <w:color w:val="auto"/>
                <w:sz w:val="24"/>
                <w:highlight w:val="none"/>
                <w:lang w:eastAsia="zh-CN"/>
              </w:rPr>
              <w:t>本项目各类废水全部合理不处置，不外排，不设置废水排放口。</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highlight w:val="none"/>
                <w:lang w:eastAsia="zh-CN"/>
              </w:rPr>
            </w:pPr>
            <w:r>
              <w:rPr>
                <w:rFonts w:hint="eastAsia" w:cs="Times New Roman"/>
                <w:b/>
                <w:bCs/>
                <w:color w:val="auto"/>
                <w:sz w:val="24"/>
                <w:highlight w:val="none"/>
                <w:lang w:val="en-US" w:eastAsia="zh-CN"/>
              </w:rPr>
              <w:t>2.5</w:t>
            </w:r>
            <w:r>
              <w:rPr>
                <w:rFonts w:hint="eastAsia" w:cs="Times New Roman"/>
                <w:b/>
                <w:bCs/>
                <w:color w:val="auto"/>
                <w:sz w:val="24"/>
                <w:highlight w:val="none"/>
                <w:lang w:eastAsia="zh-CN"/>
              </w:rPr>
              <w:t>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highlight w:val="none"/>
                <w:lang w:eastAsia="zh-CN"/>
              </w:rPr>
            </w:pPr>
            <w:r>
              <w:rPr>
                <w:rFonts w:hint="eastAsia" w:cs="Times New Roman"/>
                <w:b w:val="0"/>
                <w:bCs w:val="0"/>
                <w:color w:val="auto"/>
                <w:sz w:val="24"/>
                <w:highlight w:val="none"/>
                <w:lang w:eastAsia="zh-CN"/>
              </w:rPr>
              <w:t>本项目不设置废水排放口，无废水监测计划。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w:t>
            </w:r>
            <w:r>
              <w:rPr>
                <w:rFonts w:hint="eastAsia" w:cs="Times New Roman"/>
                <w:b/>
                <w:bCs/>
                <w:color w:val="auto"/>
                <w:sz w:val="24"/>
                <w:highlight w:val="none"/>
                <w:lang w:val="en-US" w:eastAsia="zh-CN"/>
              </w:rPr>
              <w:t>6</w:t>
            </w:r>
            <w:r>
              <w:rPr>
                <w:rFonts w:hint="default" w:ascii="Times New Roman" w:hAnsi="Times New Roman" w:cs="Times New Roman"/>
                <w:b/>
                <w:bCs/>
                <w:color w:val="auto"/>
                <w:sz w:val="24"/>
                <w:highlight w:val="none"/>
              </w:rPr>
              <w:t>评价结论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综上，在严格采取上述措施后，项目各类废水经合理处置，不外排，</w:t>
            </w:r>
            <w:r>
              <w:rPr>
                <w:rFonts w:hint="default" w:ascii="Times New Roman" w:hAnsi="Times New Roman" w:cs="Times New Roman"/>
                <w:color w:val="auto"/>
                <w:sz w:val="24"/>
                <w:highlight w:val="none"/>
              </w:rPr>
              <w:t>不会对周围水环境产生影响。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3</w:t>
            </w:r>
            <w:r>
              <w:rPr>
                <w:rFonts w:hint="default" w:ascii="Times New Roman" w:hAnsi="Times New Roman" w:cs="Times New Roman"/>
                <w:b/>
                <w:color w:val="auto"/>
                <w:sz w:val="24"/>
                <w:highlight w:val="none"/>
              </w:rPr>
              <w:t>、噪声</w:t>
            </w:r>
          </w:p>
          <w:p>
            <w:pPr>
              <w:pStyle w:val="13"/>
              <w:snapToGrid w:val="0"/>
              <w:spacing w:line="360" w:lineRule="auto"/>
              <w:ind w:firstLine="482"/>
              <w:rPr>
                <w:rFonts w:hint="default"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.1源强分析</w:t>
            </w:r>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项目运营期主要噪声源是</w:t>
            </w:r>
            <w:r>
              <w:rPr>
                <w:rFonts w:hint="eastAsia" w:ascii="Times New Roman" w:hAnsi="Times New Roman" w:cs="Times New Roman"/>
                <w:color w:val="auto"/>
                <w:sz w:val="24"/>
                <w:szCs w:val="24"/>
                <w:highlight w:val="none"/>
                <w:lang w:val="en-US" w:eastAsia="zh-CN"/>
              </w:rPr>
              <w:t>搅拌</w:t>
            </w:r>
            <w:r>
              <w:rPr>
                <w:rFonts w:hint="default" w:ascii="Times New Roman" w:hAnsi="Times New Roman" w:cs="Times New Roman"/>
                <w:color w:val="auto"/>
                <w:sz w:val="24"/>
                <w:szCs w:val="24"/>
                <w:highlight w:val="none"/>
              </w:rPr>
              <w:t>机、</w:t>
            </w:r>
            <w:r>
              <w:rPr>
                <w:rFonts w:hint="eastAsia" w:ascii="Times New Roman" w:hAnsi="Times New Roman" w:cs="Times New Roman"/>
                <w:color w:val="auto"/>
                <w:sz w:val="24"/>
                <w:szCs w:val="24"/>
                <w:highlight w:val="none"/>
                <w:lang w:val="en-US" w:eastAsia="zh-CN"/>
              </w:rPr>
              <w:t>打浆</w:t>
            </w:r>
            <w:r>
              <w:rPr>
                <w:rFonts w:hint="default" w:ascii="Times New Roman" w:hAnsi="Times New Roman" w:cs="Times New Roman"/>
                <w:color w:val="auto"/>
                <w:sz w:val="24"/>
                <w:szCs w:val="24"/>
                <w:highlight w:val="none"/>
              </w:rPr>
              <w:t>机、</w:t>
            </w:r>
            <w:r>
              <w:rPr>
                <w:rFonts w:hint="eastAsia" w:ascii="Times New Roman" w:hAnsi="Times New Roman" w:cs="Times New Roman"/>
                <w:color w:val="auto"/>
                <w:sz w:val="24"/>
                <w:szCs w:val="24"/>
                <w:highlight w:val="none"/>
                <w:lang w:val="en-US" w:eastAsia="zh-CN"/>
              </w:rPr>
              <w:t>合模</w:t>
            </w:r>
            <w:r>
              <w:rPr>
                <w:rFonts w:hint="default" w:ascii="Times New Roman" w:hAnsi="Times New Roman" w:cs="Times New Roman"/>
                <w:color w:val="auto"/>
                <w:sz w:val="24"/>
                <w:szCs w:val="24"/>
                <w:highlight w:val="none"/>
              </w:rPr>
              <w:t>机、</w:t>
            </w:r>
            <w:r>
              <w:rPr>
                <w:rFonts w:hint="eastAsia" w:ascii="Times New Roman" w:hAnsi="Times New Roman" w:cs="Times New Roman"/>
                <w:color w:val="auto"/>
                <w:sz w:val="24"/>
                <w:szCs w:val="24"/>
                <w:highlight w:val="none"/>
                <w:lang w:val="en-US" w:eastAsia="zh-CN"/>
              </w:rPr>
              <w:t>制条</w:t>
            </w:r>
            <w:r>
              <w:rPr>
                <w:rFonts w:hint="default" w:ascii="Times New Roman" w:hAnsi="Times New Roman" w:cs="Times New Roman"/>
                <w:color w:val="auto"/>
                <w:sz w:val="24"/>
                <w:szCs w:val="24"/>
                <w:highlight w:val="none"/>
                <w:lang w:eastAsia="zh-CN"/>
              </w:rPr>
              <w:t>机</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切割</w:t>
            </w:r>
            <w:r>
              <w:rPr>
                <w:rFonts w:hint="default" w:ascii="Times New Roman" w:hAnsi="Times New Roman" w:cs="Times New Roman"/>
                <w:color w:val="auto"/>
                <w:sz w:val="24"/>
                <w:szCs w:val="24"/>
                <w:highlight w:val="none"/>
              </w:rPr>
              <w:t>机、</w:t>
            </w:r>
            <w:r>
              <w:rPr>
                <w:rFonts w:hint="eastAsia" w:ascii="Times New Roman" w:hAnsi="Times New Roman" w:cs="Times New Roman"/>
                <w:color w:val="auto"/>
                <w:sz w:val="24"/>
                <w:szCs w:val="24"/>
                <w:highlight w:val="none"/>
                <w:lang w:val="en-US" w:eastAsia="zh-CN"/>
              </w:rPr>
              <w:t>烘干</w:t>
            </w:r>
            <w:r>
              <w:rPr>
                <w:rFonts w:hint="default" w:ascii="Times New Roman" w:hAnsi="Times New Roman" w:cs="Times New Roman"/>
                <w:color w:val="auto"/>
                <w:sz w:val="24"/>
                <w:szCs w:val="24"/>
                <w:highlight w:val="none"/>
              </w:rPr>
              <w:t>机、</w:t>
            </w:r>
            <w:r>
              <w:rPr>
                <w:rFonts w:hint="eastAsia" w:ascii="Times New Roman" w:hAnsi="Times New Roman" w:cs="Times New Roman"/>
                <w:color w:val="auto"/>
                <w:sz w:val="24"/>
                <w:szCs w:val="24"/>
                <w:highlight w:val="none"/>
                <w:lang w:val="en-US" w:eastAsia="zh-CN"/>
              </w:rPr>
              <w:t>风</w:t>
            </w:r>
            <w:r>
              <w:rPr>
                <w:rFonts w:hint="default" w:ascii="Times New Roman" w:hAnsi="Times New Roman" w:cs="Times New Roman"/>
                <w:color w:val="auto"/>
                <w:sz w:val="24"/>
                <w:szCs w:val="24"/>
                <w:highlight w:val="none"/>
              </w:rPr>
              <w:t>机、</w:t>
            </w:r>
            <w:r>
              <w:rPr>
                <w:rFonts w:hint="eastAsia" w:ascii="Times New Roman" w:hAnsi="Times New Roman" w:cs="Times New Roman"/>
                <w:color w:val="auto"/>
                <w:sz w:val="24"/>
                <w:szCs w:val="24"/>
                <w:highlight w:val="none"/>
                <w:lang w:val="en-US" w:eastAsia="zh-CN"/>
              </w:rPr>
              <w:t>泵类</w:t>
            </w:r>
            <w:r>
              <w:rPr>
                <w:rFonts w:hint="default" w:ascii="Times New Roman" w:hAnsi="Times New Roman" w:cs="Times New Roman"/>
                <w:color w:val="auto"/>
                <w:sz w:val="24"/>
                <w:szCs w:val="24"/>
                <w:highlight w:val="none"/>
              </w:rPr>
              <w:t>等设备噪声以及车辆运输噪声等，噪声源强在75~95dB(A</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之间。各主要产噪</w:t>
            </w:r>
            <w:r>
              <w:rPr>
                <w:rFonts w:hint="default" w:ascii="Times New Roman" w:hAnsi="Times New Roman" w:cs="Times New Roman"/>
                <w:bCs/>
                <w:color w:val="auto"/>
                <w:sz w:val="24"/>
                <w:szCs w:val="24"/>
                <w:highlight w:val="none"/>
              </w:rPr>
              <w:t>设备噪声源强及具体治理措施见表</w:t>
            </w:r>
            <w:r>
              <w:rPr>
                <w:rFonts w:hint="eastAsia" w:ascii="Times New Roman" w:hAnsi="Times New Roman" w:cs="Times New Roman"/>
                <w:bCs/>
                <w:color w:val="auto"/>
                <w:sz w:val="24"/>
                <w:szCs w:val="24"/>
                <w:highlight w:val="none"/>
                <w:lang w:val="en-US" w:eastAsia="zh-CN"/>
              </w:rPr>
              <w:t>4-6</w:t>
            </w:r>
            <w:r>
              <w:rPr>
                <w:rFonts w:hint="default" w:ascii="Times New Roman" w:hAnsi="Times New Roman" w:cs="Times New Roman"/>
                <w:bCs/>
                <w:color w:val="auto"/>
                <w:sz w:val="24"/>
                <w:szCs w:val="24"/>
                <w:highlight w:val="none"/>
              </w:rPr>
              <w:t>。</w:t>
            </w:r>
          </w:p>
          <w:p>
            <w:pPr>
              <w:tabs>
                <w:tab w:val="left" w:pos="4140"/>
              </w:tabs>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eastAsia" w:cs="Times New Roman"/>
                <w:b/>
                <w:bCs/>
                <w:color w:val="auto"/>
                <w:szCs w:val="21"/>
                <w:highlight w:val="none"/>
                <w:lang w:val="en-US" w:eastAsia="zh-CN"/>
              </w:rPr>
              <w:t>4-6</w:t>
            </w:r>
            <w:r>
              <w:rPr>
                <w:rFonts w:hint="default" w:ascii="Times New Roman" w:hAnsi="Times New Roman" w:cs="Times New Roman"/>
                <w:b/>
                <w:bCs/>
                <w:color w:val="auto"/>
                <w:szCs w:val="21"/>
                <w:highlight w:val="none"/>
              </w:rPr>
              <w:t xml:space="preserve"> 项目噪声源强及治理措施分析表</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751"/>
              <w:gridCol w:w="1016"/>
              <w:gridCol w:w="1155"/>
              <w:gridCol w:w="2292"/>
              <w:gridCol w:w="1184"/>
              <w:gridCol w:w="11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28"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声源名称</w:t>
                  </w:r>
                </w:p>
              </w:tc>
              <w:tc>
                <w:tcPr>
                  <w:tcW w:w="43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声源类型</w:t>
                  </w:r>
                </w:p>
              </w:tc>
              <w:tc>
                <w:tcPr>
                  <w:tcW w:w="58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数量（台）</w:t>
                  </w:r>
                </w:p>
              </w:tc>
              <w:tc>
                <w:tcPr>
                  <w:tcW w:w="66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产生强度</w:t>
                  </w:r>
                  <w:r>
                    <w:rPr>
                      <w:rFonts w:hint="default" w:ascii="Times New Roman" w:hAnsi="Times New Roman" w:cs="Times New Roman"/>
                      <w:color w:val="auto"/>
                      <w:sz w:val="21"/>
                      <w:szCs w:val="21"/>
                      <w:highlight w:val="none"/>
                    </w:rPr>
                    <w:t>dB(A)</w:t>
                  </w:r>
                </w:p>
              </w:tc>
              <w:tc>
                <w:tcPr>
                  <w:tcW w:w="132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降噪</w:t>
                  </w:r>
                  <w:r>
                    <w:rPr>
                      <w:rFonts w:hint="default" w:ascii="Times New Roman" w:hAnsi="Times New Roman" w:cs="Times New Roman"/>
                      <w:color w:val="auto"/>
                      <w:sz w:val="21"/>
                      <w:szCs w:val="21"/>
                      <w:highlight w:val="none"/>
                    </w:rPr>
                    <w:t>措施</w:t>
                  </w:r>
                </w:p>
              </w:tc>
              <w:tc>
                <w:tcPr>
                  <w:tcW w:w="68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排放强度</w:t>
                  </w:r>
                  <w:r>
                    <w:rPr>
                      <w:rFonts w:hint="default" w:ascii="Times New Roman" w:hAnsi="Times New Roman" w:cs="Times New Roman"/>
                      <w:color w:val="auto"/>
                      <w:sz w:val="21"/>
                      <w:szCs w:val="21"/>
                      <w:highlight w:val="none"/>
                    </w:rPr>
                    <w:t>dB(A)</w:t>
                  </w:r>
                </w:p>
              </w:tc>
              <w:tc>
                <w:tcPr>
                  <w:tcW w:w="673"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eastAsia="zh-CN"/>
                    </w:rPr>
                    <w:t>持续时间</w:t>
                  </w:r>
                  <w:r>
                    <w:rPr>
                      <w:rFonts w:hint="eastAsia" w:cs="Times New Roman"/>
                      <w:color w:val="auto"/>
                      <w:sz w:val="21"/>
                      <w:szCs w:val="21"/>
                      <w:highlight w:val="none"/>
                      <w:lang w:val="en-US" w:eastAsia="zh-CN"/>
                    </w:rPr>
                    <w:t>h/d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28"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搅拌机</w:t>
                  </w:r>
                </w:p>
              </w:tc>
              <w:tc>
                <w:tcPr>
                  <w:tcW w:w="43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频发</w:t>
                  </w:r>
                </w:p>
              </w:tc>
              <w:tc>
                <w:tcPr>
                  <w:tcW w:w="58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66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132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低噪设备，室内布置</w:t>
                  </w:r>
                </w:p>
              </w:tc>
              <w:tc>
                <w:tcPr>
                  <w:tcW w:w="68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673"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28"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打浆</w:t>
                  </w:r>
                  <w:r>
                    <w:rPr>
                      <w:rFonts w:hint="default" w:ascii="Times New Roman" w:hAnsi="Times New Roman" w:cs="Times New Roman"/>
                      <w:color w:val="auto"/>
                      <w:sz w:val="21"/>
                      <w:szCs w:val="21"/>
                      <w:highlight w:val="none"/>
                    </w:rPr>
                    <w:t>机</w:t>
                  </w:r>
                </w:p>
              </w:tc>
              <w:tc>
                <w:tcPr>
                  <w:tcW w:w="43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频发</w:t>
                  </w:r>
                </w:p>
              </w:tc>
              <w:tc>
                <w:tcPr>
                  <w:tcW w:w="58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66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w:t>
                  </w:r>
                </w:p>
              </w:tc>
              <w:tc>
                <w:tcPr>
                  <w:tcW w:w="132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优选低噪设备，基础减振、室内安装、墙体隔声等</w:t>
                  </w:r>
                </w:p>
              </w:tc>
              <w:tc>
                <w:tcPr>
                  <w:tcW w:w="68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673"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28"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合模</w:t>
                  </w:r>
                  <w:r>
                    <w:rPr>
                      <w:rFonts w:hint="default" w:ascii="Times New Roman" w:hAnsi="Times New Roman" w:cs="Times New Roman"/>
                      <w:color w:val="auto"/>
                      <w:sz w:val="21"/>
                      <w:szCs w:val="21"/>
                      <w:highlight w:val="none"/>
                    </w:rPr>
                    <w:t>机</w:t>
                  </w:r>
                </w:p>
              </w:tc>
              <w:tc>
                <w:tcPr>
                  <w:tcW w:w="434" w:type="pct"/>
                  <w:tcBorders>
                    <w:bottom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频发</w:t>
                  </w:r>
                </w:p>
              </w:tc>
              <w:tc>
                <w:tcPr>
                  <w:tcW w:w="58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66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1324" w:type="pct"/>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p>
              </w:tc>
              <w:tc>
                <w:tcPr>
                  <w:tcW w:w="68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73"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28"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制条</w:t>
                  </w:r>
                  <w:r>
                    <w:rPr>
                      <w:rFonts w:hint="default" w:ascii="Times New Roman" w:hAnsi="Times New Roman" w:cs="Times New Roman"/>
                      <w:color w:val="auto"/>
                      <w:sz w:val="21"/>
                      <w:szCs w:val="21"/>
                      <w:highlight w:val="none"/>
                    </w:rPr>
                    <w:t>机</w:t>
                  </w:r>
                </w:p>
              </w:tc>
              <w:tc>
                <w:tcPr>
                  <w:tcW w:w="434" w:type="pct"/>
                  <w:tcBorders>
                    <w:top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频发</w:t>
                  </w:r>
                </w:p>
              </w:tc>
              <w:tc>
                <w:tcPr>
                  <w:tcW w:w="58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66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85</w:t>
                  </w:r>
                </w:p>
              </w:tc>
              <w:tc>
                <w:tcPr>
                  <w:tcW w:w="1324" w:type="pct"/>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p>
              </w:tc>
              <w:tc>
                <w:tcPr>
                  <w:tcW w:w="68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73"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28"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切割</w:t>
                  </w:r>
                  <w:r>
                    <w:rPr>
                      <w:rFonts w:hint="default" w:ascii="Times New Roman" w:hAnsi="Times New Roman" w:cs="Times New Roman"/>
                      <w:color w:val="auto"/>
                      <w:sz w:val="21"/>
                      <w:szCs w:val="21"/>
                      <w:highlight w:val="none"/>
                    </w:rPr>
                    <w:t>机</w:t>
                  </w:r>
                </w:p>
              </w:tc>
              <w:tc>
                <w:tcPr>
                  <w:tcW w:w="43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频发</w:t>
                  </w:r>
                </w:p>
              </w:tc>
              <w:tc>
                <w:tcPr>
                  <w:tcW w:w="58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66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w:t>
                  </w:r>
                </w:p>
              </w:tc>
              <w:tc>
                <w:tcPr>
                  <w:tcW w:w="1324" w:type="pct"/>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p>
              </w:tc>
              <w:tc>
                <w:tcPr>
                  <w:tcW w:w="68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673"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28"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烘干</w:t>
                  </w:r>
                  <w:r>
                    <w:rPr>
                      <w:rFonts w:hint="default" w:ascii="Times New Roman" w:hAnsi="Times New Roman" w:cs="Times New Roman"/>
                      <w:color w:val="auto"/>
                      <w:sz w:val="21"/>
                      <w:szCs w:val="21"/>
                      <w:highlight w:val="none"/>
                    </w:rPr>
                    <w:t>机</w:t>
                  </w:r>
                </w:p>
              </w:tc>
              <w:tc>
                <w:tcPr>
                  <w:tcW w:w="43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频发</w:t>
                  </w:r>
                </w:p>
              </w:tc>
              <w:tc>
                <w:tcPr>
                  <w:tcW w:w="58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66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85</w:t>
                  </w:r>
                </w:p>
              </w:tc>
              <w:tc>
                <w:tcPr>
                  <w:tcW w:w="1324" w:type="pct"/>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p>
              </w:tc>
              <w:tc>
                <w:tcPr>
                  <w:tcW w:w="68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73"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28"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风机</w:t>
                  </w:r>
                </w:p>
              </w:tc>
              <w:tc>
                <w:tcPr>
                  <w:tcW w:w="43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频发</w:t>
                  </w:r>
                </w:p>
              </w:tc>
              <w:tc>
                <w:tcPr>
                  <w:tcW w:w="58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66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1324" w:type="pct"/>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p>
              </w:tc>
              <w:tc>
                <w:tcPr>
                  <w:tcW w:w="68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6</w:t>
                  </w:r>
                  <w:r>
                    <w:rPr>
                      <w:rFonts w:hint="eastAsia" w:cs="Times New Roman"/>
                      <w:color w:val="auto"/>
                      <w:sz w:val="21"/>
                      <w:szCs w:val="21"/>
                      <w:highlight w:val="none"/>
                      <w:lang w:val="en-US" w:eastAsia="zh-CN"/>
                    </w:rPr>
                    <w:t>5</w:t>
                  </w:r>
                </w:p>
              </w:tc>
              <w:tc>
                <w:tcPr>
                  <w:tcW w:w="673"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28"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泵类</w:t>
                  </w:r>
                </w:p>
              </w:tc>
              <w:tc>
                <w:tcPr>
                  <w:tcW w:w="43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频发</w:t>
                  </w:r>
                </w:p>
              </w:tc>
              <w:tc>
                <w:tcPr>
                  <w:tcW w:w="58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66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1324" w:type="pct"/>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p>
              </w:tc>
              <w:tc>
                <w:tcPr>
                  <w:tcW w:w="68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73"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28"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运输车辆</w:t>
                  </w:r>
                </w:p>
              </w:tc>
              <w:tc>
                <w:tcPr>
                  <w:tcW w:w="43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频发</w:t>
                  </w:r>
                </w:p>
              </w:tc>
              <w:tc>
                <w:tcPr>
                  <w:tcW w:w="58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67"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w:t>
                  </w:r>
                </w:p>
              </w:tc>
              <w:tc>
                <w:tcPr>
                  <w:tcW w:w="132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加强管理，禁止鸣笛，限制车速</w:t>
                  </w:r>
                </w:p>
              </w:tc>
              <w:tc>
                <w:tcPr>
                  <w:tcW w:w="68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673"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r>
          </w:tbl>
          <w:p>
            <w:pPr>
              <w:pStyle w:val="13"/>
              <w:adjustRightInd w:val="0"/>
              <w:snapToGrid w:val="0"/>
              <w:spacing w:before="120" w:beforeLines="50" w:line="360" w:lineRule="auto"/>
              <w:ind w:firstLine="482"/>
              <w:rPr>
                <w:rFonts w:hint="default"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.2噪声污染防治措施</w:t>
            </w:r>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为减小噪声对周围环境的影响，噪声控制措施如下：</w:t>
            </w:r>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①将主要设备噪声设备置于室内，充分利用厂房的隔声作用防止噪声外泄。</w:t>
            </w:r>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②对振动较大的设备采取防震减噪措施，如设置减震基础、安装橡胶弹簧等。</w:t>
            </w:r>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③对于主要噪声设备，选择低噪声设备，减少噪声源强。</w:t>
            </w:r>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④加强厂房隔声措施，例如，厂房维护材料采用强隔音彩板、双层塑钢门窗等。</w:t>
            </w:r>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⑤在厂界四周、道路两侧、生产装置周围种植阻噪、吸噪效果较好的绿化带。</w:t>
            </w:r>
          </w:p>
          <w:p>
            <w:pPr>
              <w:keepNext w:val="0"/>
              <w:keepLines w:val="0"/>
              <w:pageBreakBefore w:val="0"/>
              <w:kinsoku/>
              <w:overflowPunct/>
              <w:topLinePunct w:val="0"/>
              <w:bidi w:val="0"/>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⑥</w:t>
            </w:r>
            <w:r>
              <w:rPr>
                <w:rFonts w:hint="default" w:ascii="Times New Roman" w:hAnsi="Times New Roman" w:cs="Times New Roman"/>
                <w:color w:val="auto"/>
                <w:sz w:val="24"/>
                <w:szCs w:val="24"/>
                <w:highlight w:val="none"/>
              </w:rPr>
              <w:t>运输车辆</w:t>
            </w:r>
            <w:r>
              <w:rPr>
                <w:rFonts w:hint="eastAsia" w:ascii="Times New Roman" w:hAnsi="Times New Roman" w:cs="Times New Roman"/>
                <w:color w:val="auto"/>
                <w:sz w:val="24"/>
                <w:szCs w:val="24"/>
                <w:highlight w:val="none"/>
                <w:lang w:eastAsia="zh-CN"/>
              </w:rPr>
              <w:t>噪声采用：</w:t>
            </w:r>
            <w:r>
              <w:rPr>
                <w:rFonts w:hint="eastAsia"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加强运输车辆管理，加强维护保养，保证车辆运行良好，减少车辆非正常运输噪声；</w:t>
            </w:r>
            <w:r>
              <w:rPr>
                <w:rFonts w:hint="eastAsia"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rPr>
              <w:t>物料的运输安排在白天，禁止夜间运输，在午休时间减少运输量，经过沿线村庄时，减速慢行，禁止鸣笛，减少对运输沿线村庄的噪声影响。</w:t>
            </w:r>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.3噪声预测及</w:t>
            </w:r>
            <w:r>
              <w:rPr>
                <w:rFonts w:hint="eastAsia" w:ascii="Times New Roman" w:hAnsi="Times New Roman" w:cs="Times New Roman"/>
                <w:b/>
                <w:bCs/>
                <w:color w:val="auto"/>
                <w:sz w:val="24"/>
                <w:szCs w:val="24"/>
                <w:highlight w:val="none"/>
                <w:lang w:eastAsia="zh-CN"/>
              </w:rPr>
              <w:t>达标情况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（1）计算公式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本次评价采用《环境影响评价技术导则—声环境》（HJ2.4-20</w:t>
            </w:r>
            <w:r>
              <w:rPr>
                <w:rFonts w:hint="eastAsia" w:cs="Times New Roman"/>
                <w:color w:val="auto"/>
                <w:sz w:val="24"/>
                <w:highlight w:val="none"/>
                <w:lang w:val="en-US" w:eastAsia="zh-CN"/>
              </w:rPr>
              <w:t>21</w:t>
            </w:r>
            <w:r>
              <w:rPr>
                <w:rFonts w:hint="default" w:ascii="Times New Roman" w:hAnsi="Times New Roman" w:cs="Times New Roman"/>
                <w:color w:val="auto"/>
                <w:sz w:val="24"/>
                <w:highlight w:val="none"/>
              </w:rPr>
              <w:t>）推荐的噪声传播衰减方法进行预测，声传播衰减包括几何发散、大气吸收、地面效应、屏障屏蔽、其他多方面效应引起的衰减。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a.点声源噪声衰减公式为：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室外点声源在预测点的倍频带声压级公式如下：</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LA(r)=LA(r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div</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atm</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bar</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gr</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misc</w:t>
            </w:r>
            <w:r>
              <w:rPr>
                <w:rFonts w:hint="default" w:ascii="Times New Roman" w:hAnsi="Times New Roman" w:cs="Times New Roman"/>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式中：LA(r)－预测点处所接受的A声级；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LA(r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)－参考点处的声源A声级；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r－声源至预测点的距离；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－参考位置距离，m，取1m；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A</w:t>
            </w:r>
            <w:r>
              <w:rPr>
                <w:rFonts w:hint="default" w:ascii="Times New Roman" w:hAnsi="Times New Roman" w:cs="Times New Roman"/>
                <w:color w:val="auto"/>
                <w:sz w:val="24"/>
                <w:highlight w:val="none"/>
                <w:vertAlign w:val="subscript"/>
              </w:rPr>
              <w:t>div</w:t>
            </w:r>
            <w:r>
              <w:rPr>
                <w:rFonts w:hint="default" w:ascii="Times New Roman" w:hAnsi="Times New Roman" w:cs="Times New Roman"/>
                <w:color w:val="auto"/>
                <w:sz w:val="24"/>
                <w:highlight w:val="none"/>
              </w:rPr>
              <w:t>－几何发散引起的A声级衰减，dB(A)；</w:t>
            </w:r>
          </w:p>
          <w:p>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1200" w:firstLineChars="50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highlight w:val="none"/>
                <w:lang w:val="en-US" w:eastAsia="zh-CN"/>
              </w:rPr>
              <w:t>A</w:t>
            </w:r>
            <w:r>
              <w:rPr>
                <w:rFonts w:hint="default" w:ascii="Times New Roman" w:hAnsi="Times New Roman" w:cs="Times New Roman"/>
                <w:color w:val="auto"/>
                <w:sz w:val="24"/>
                <w:highlight w:val="none"/>
                <w:vertAlign w:val="subscript"/>
                <w:lang w:val="en-US" w:eastAsia="zh-CN"/>
              </w:rPr>
              <w:t>atm</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大气吸收引起的</w:t>
            </w:r>
            <w:r>
              <w:rPr>
                <w:rFonts w:hint="default" w:ascii="Times New Roman" w:hAnsi="Times New Roman" w:cs="Times New Roman"/>
                <w:color w:val="auto"/>
                <w:sz w:val="24"/>
                <w:highlight w:val="none"/>
                <w:lang w:val="en-US" w:eastAsia="zh-CN"/>
              </w:rPr>
              <w:t>A声级</w:t>
            </w:r>
            <w:r>
              <w:rPr>
                <w:rFonts w:hint="default" w:ascii="Times New Roman" w:hAnsi="Times New Roman" w:cs="Times New Roman"/>
                <w:color w:val="auto"/>
                <w:sz w:val="24"/>
                <w:highlight w:val="none"/>
                <w:lang w:eastAsia="zh-CN"/>
              </w:rPr>
              <w:t>衰减</w:t>
            </w:r>
            <w:r>
              <w:rPr>
                <w:rFonts w:hint="default" w:ascii="Times New Roman" w:hAnsi="Times New Roman" w:cs="Times New Roman"/>
                <w:color w:val="auto"/>
                <w:sz w:val="24"/>
                <w:highlight w:val="none"/>
              </w:rPr>
              <w:t>，dB(A)；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bar</w:t>
            </w:r>
            <w:r>
              <w:rPr>
                <w:rFonts w:hint="default" w:ascii="Times New Roman" w:hAnsi="Times New Roman" w:cs="Times New Roman"/>
                <w:color w:val="auto"/>
                <w:sz w:val="24"/>
                <w:highlight w:val="none"/>
              </w:rPr>
              <w:t>－声屏障引起的A声级衰减，dB(A)；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gr</w:t>
            </w:r>
            <w:r>
              <w:rPr>
                <w:rFonts w:hint="default" w:ascii="Times New Roman" w:hAnsi="Times New Roman" w:cs="Times New Roman"/>
                <w:color w:val="auto"/>
                <w:sz w:val="24"/>
                <w:highlight w:val="none"/>
              </w:rPr>
              <w:t>－地面效应引起的A声级衰减，dB(A)；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misc</w:t>
            </w:r>
            <w:r>
              <w:rPr>
                <w:rFonts w:hint="default" w:ascii="Times New Roman" w:hAnsi="Times New Roman" w:cs="Times New Roman"/>
                <w:color w:val="auto"/>
                <w:sz w:val="24"/>
                <w:highlight w:val="none"/>
              </w:rPr>
              <w:t>－其他多方面效应引起的A声级衰减，dB(A)；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计算过程中不考虑大气吸收（A</w:t>
            </w:r>
            <w:r>
              <w:rPr>
                <w:rFonts w:hint="default" w:ascii="Times New Roman" w:hAnsi="Times New Roman" w:cs="Times New Roman"/>
                <w:color w:val="auto"/>
                <w:sz w:val="24"/>
                <w:highlight w:val="none"/>
                <w:vertAlign w:val="subscript"/>
              </w:rPr>
              <w:t>atm</w:t>
            </w:r>
            <w:r>
              <w:rPr>
                <w:rFonts w:hint="default" w:ascii="Times New Roman" w:hAnsi="Times New Roman" w:cs="Times New Roman"/>
                <w:color w:val="auto"/>
                <w:sz w:val="24"/>
                <w:highlight w:val="none"/>
              </w:rPr>
              <w:t>）、地面效应（A</w:t>
            </w:r>
            <w:r>
              <w:rPr>
                <w:rFonts w:hint="default" w:ascii="Times New Roman" w:hAnsi="Times New Roman" w:cs="Times New Roman"/>
                <w:color w:val="auto"/>
                <w:sz w:val="24"/>
                <w:highlight w:val="none"/>
                <w:vertAlign w:val="subscript"/>
              </w:rPr>
              <w:t>gr</w:t>
            </w:r>
            <w:r>
              <w:rPr>
                <w:rFonts w:hint="default" w:ascii="Times New Roman" w:hAnsi="Times New Roman" w:cs="Times New Roman"/>
                <w:color w:val="auto"/>
                <w:sz w:val="24"/>
                <w:highlight w:val="none"/>
              </w:rPr>
              <w:t>）、屏障屏蔽（A</w:t>
            </w:r>
            <w:r>
              <w:rPr>
                <w:rFonts w:hint="default" w:ascii="Times New Roman" w:hAnsi="Times New Roman" w:cs="Times New Roman"/>
                <w:color w:val="auto"/>
                <w:sz w:val="24"/>
                <w:highlight w:val="none"/>
                <w:vertAlign w:val="subscript"/>
              </w:rPr>
              <w:t>bar</w:t>
            </w:r>
            <w:r>
              <w:rPr>
                <w:rFonts w:hint="default" w:ascii="Times New Roman" w:hAnsi="Times New Roman" w:cs="Times New Roman"/>
                <w:color w:val="auto"/>
                <w:sz w:val="24"/>
                <w:highlight w:val="none"/>
              </w:rPr>
              <w:t>）、其他多方面效应（A</w:t>
            </w:r>
            <w:r>
              <w:rPr>
                <w:rFonts w:hint="default" w:ascii="Times New Roman" w:hAnsi="Times New Roman" w:cs="Times New Roman"/>
                <w:color w:val="auto"/>
                <w:sz w:val="24"/>
                <w:highlight w:val="none"/>
                <w:vertAlign w:val="subscript"/>
              </w:rPr>
              <w:t>misc</w:t>
            </w:r>
            <w:r>
              <w:rPr>
                <w:rFonts w:hint="default" w:ascii="Times New Roman" w:hAnsi="Times New Roman" w:cs="Times New Roman"/>
                <w:color w:val="auto"/>
                <w:sz w:val="24"/>
                <w:highlight w:val="none"/>
              </w:rPr>
              <w:t>）引起的衰减，仅考虑了几何发散（A</w:t>
            </w:r>
            <w:r>
              <w:rPr>
                <w:rFonts w:hint="default" w:ascii="Times New Roman" w:hAnsi="Times New Roman" w:cs="Times New Roman"/>
                <w:color w:val="auto"/>
                <w:sz w:val="24"/>
                <w:highlight w:val="none"/>
                <w:vertAlign w:val="subscript"/>
              </w:rPr>
              <w:t>div</w:t>
            </w:r>
            <w:r>
              <w:rPr>
                <w:rFonts w:hint="default" w:ascii="Times New Roman" w:hAnsi="Times New Roman" w:cs="Times New Roman"/>
                <w:color w:val="auto"/>
                <w:sz w:val="24"/>
                <w:highlight w:val="none"/>
              </w:rPr>
              <w:t>）引起的衰减，其中：</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几何发散（A</w:t>
            </w:r>
            <w:r>
              <w:rPr>
                <w:rFonts w:hint="default" w:ascii="Times New Roman" w:hAnsi="Times New Roman" w:cs="Times New Roman"/>
                <w:color w:val="auto"/>
                <w:sz w:val="24"/>
                <w:highlight w:val="none"/>
                <w:vertAlign w:val="subscript"/>
              </w:rPr>
              <w:t>div</w:t>
            </w:r>
            <w:r>
              <w:rPr>
                <w:rFonts w:hint="default" w:ascii="Times New Roman" w:hAnsi="Times New Roman" w:cs="Times New Roman"/>
                <w:color w:val="auto"/>
                <w:sz w:val="24"/>
                <w:highlight w:val="none"/>
              </w:rPr>
              <w:t>）引起的衰减公式为：</w:t>
            </w:r>
          </w:p>
          <w:p>
            <w:pPr>
              <w:adjustRightInd w:val="0"/>
              <w:snapToGrid w:val="0"/>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div</w:t>
            </w:r>
            <w:r>
              <w:rPr>
                <w:rFonts w:hint="default" w:ascii="Times New Roman" w:hAnsi="Times New Roman" w:cs="Times New Roman"/>
                <w:color w:val="auto"/>
                <w:sz w:val="24"/>
                <w:highlight w:val="none"/>
              </w:rPr>
              <w:t>=20lg（r/r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b.噪声叠加模式：</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29" o:spt="75" type="#_x0000_t75" style="height:36pt;width:101.35pt;" o:ole="t" filled="f" o:preferrelative="t" stroked="f" coordsize="21600,21600">
                  <v:path/>
                  <v:fill on="f" focussize="0,0"/>
                  <v:stroke on="f"/>
                  <v:imagedata r:id="rId25" o:title=""/>
                  <o:lock v:ext="edit" aspectratio="t"/>
                  <w10:wrap type="none"/>
                  <w10:anchorlock/>
                </v:shape>
                <o:OLEObject Type="Embed" ProgID="Equation.3" ShapeID="_x0000_i1029" DrawAspect="Content" ObjectID="_1468075729" r:id="rId24">
                  <o:LockedField>false</o:LockedField>
                </o:OLEObject>
              </w:objec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式中：L－受声点处的总声级，dB(A)；</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Li－i噪声源对受声点的噪声影响值，dB(A)；</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（2）预测内容</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本项目为新建项目，声环境影响以贡献值作为评价量。</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hint="default" w:ascii="Times New Roman" w:hAnsi="Times New Roman" w:cs="Times New Roman"/>
                <w:color w:val="auto"/>
                <w:spacing w:val="6"/>
                <w:sz w:val="24"/>
                <w:highlight w:val="none"/>
              </w:rPr>
              <w:t>预测结果及分析</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项目运行后，设备运行噪声贡献值见表</w:t>
            </w:r>
            <w:r>
              <w:rPr>
                <w:rFonts w:hint="eastAsia" w:cs="Times New Roman"/>
                <w:color w:val="auto"/>
                <w:sz w:val="24"/>
                <w:highlight w:val="none"/>
                <w:lang w:val="en-US" w:eastAsia="zh-CN"/>
              </w:rPr>
              <w:t>4-7</w:t>
            </w:r>
            <w:r>
              <w:rPr>
                <w:rFonts w:hint="default" w:ascii="Times New Roman" w:hAnsi="Times New Roman" w:cs="Times New Roman"/>
                <w:color w:val="auto"/>
                <w:sz w:val="24"/>
                <w:highlight w:val="none"/>
              </w:rPr>
              <w:t>。</w:t>
            </w:r>
          </w:p>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eastAsia" w:cs="Times New Roman"/>
                <w:b/>
                <w:color w:val="auto"/>
                <w:highlight w:val="none"/>
                <w:lang w:val="en-US" w:eastAsia="zh-CN"/>
              </w:rPr>
              <w:t>4-7</w:t>
            </w:r>
            <w:r>
              <w:rPr>
                <w:rFonts w:hint="default" w:ascii="Times New Roman" w:hAnsi="Times New Roman" w:cs="Times New Roman"/>
                <w:b/>
                <w:color w:val="auto"/>
                <w:highlight w:val="none"/>
              </w:rPr>
              <w:t xml:space="preserve">  噪声贡献结果表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196"/>
              <w:gridCol w:w="1355"/>
              <w:gridCol w:w="1750"/>
              <w:gridCol w:w="1614"/>
              <w:gridCol w:w="16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59"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196"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关心点</w:t>
                  </w:r>
                </w:p>
              </w:tc>
              <w:tc>
                <w:tcPr>
                  <w:tcW w:w="1355"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预测时段</w:t>
                  </w:r>
                </w:p>
              </w:tc>
              <w:tc>
                <w:tcPr>
                  <w:tcW w:w="175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贡献值dB（A）</w:t>
                  </w:r>
                </w:p>
              </w:tc>
              <w:tc>
                <w:tcPr>
                  <w:tcW w:w="1614"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标准dB（A）</w:t>
                  </w:r>
                </w:p>
              </w:tc>
              <w:tc>
                <w:tcPr>
                  <w:tcW w:w="164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59"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196"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东厂界</w:t>
                  </w:r>
                </w:p>
              </w:tc>
              <w:tc>
                <w:tcPr>
                  <w:tcW w:w="1355"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7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48.4</w:t>
                  </w:r>
                </w:p>
              </w:tc>
              <w:tc>
                <w:tcPr>
                  <w:tcW w:w="161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60</w:t>
                  </w:r>
                </w:p>
              </w:tc>
              <w:tc>
                <w:tcPr>
                  <w:tcW w:w="164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59"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196"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南厂界</w:t>
                  </w:r>
                </w:p>
              </w:tc>
              <w:tc>
                <w:tcPr>
                  <w:tcW w:w="1355"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750"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7</w:t>
                  </w:r>
                </w:p>
              </w:tc>
              <w:tc>
                <w:tcPr>
                  <w:tcW w:w="161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60</w:t>
                  </w:r>
                </w:p>
              </w:tc>
              <w:tc>
                <w:tcPr>
                  <w:tcW w:w="164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59"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196"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西厂界</w:t>
                  </w:r>
                </w:p>
              </w:tc>
              <w:tc>
                <w:tcPr>
                  <w:tcW w:w="1355"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75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48</w:t>
                  </w:r>
                  <w:r>
                    <w:rPr>
                      <w:rFonts w:hint="default" w:ascii="Times New Roman" w:hAnsi="Times New Roman" w:cs="Times New Roman"/>
                      <w:color w:val="auto"/>
                      <w:szCs w:val="21"/>
                      <w:highlight w:val="none"/>
                    </w:rPr>
                    <w:t>.7</w:t>
                  </w:r>
                </w:p>
              </w:tc>
              <w:tc>
                <w:tcPr>
                  <w:tcW w:w="161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60</w:t>
                  </w:r>
                </w:p>
              </w:tc>
              <w:tc>
                <w:tcPr>
                  <w:tcW w:w="164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59"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196"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北厂界</w:t>
                  </w:r>
                </w:p>
              </w:tc>
              <w:tc>
                <w:tcPr>
                  <w:tcW w:w="1355"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75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51</w:t>
                  </w:r>
                  <w:r>
                    <w:rPr>
                      <w:rFonts w:hint="default" w:ascii="Times New Roman" w:hAnsi="Times New Roman" w:cs="Times New Roman"/>
                      <w:color w:val="auto"/>
                      <w:szCs w:val="21"/>
                      <w:highlight w:val="none"/>
                    </w:rPr>
                    <w:t>.2</w:t>
                  </w:r>
                </w:p>
              </w:tc>
              <w:tc>
                <w:tcPr>
                  <w:tcW w:w="161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60</w:t>
                  </w:r>
                </w:p>
              </w:tc>
              <w:tc>
                <w:tcPr>
                  <w:tcW w:w="164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b/>
                <w:bCs/>
                <w:color w:val="auto"/>
                <w:sz w:val="18"/>
                <w:szCs w:val="15"/>
                <w:highlight w:val="none"/>
              </w:rPr>
            </w:pPr>
            <w:r>
              <w:rPr>
                <w:rFonts w:hint="default" w:ascii="Times New Roman" w:hAnsi="Times New Roman" w:cs="Times New Roman"/>
                <w:b/>
                <w:bCs/>
                <w:color w:val="auto"/>
                <w:sz w:val="18"/>
                <w:szCs w:val="15"/>
                <w:highlight w:val="none"/>
              </w:rPr>
              <w:t>备注：夜间不生产</w:t>
            </w:r>
          </w:p>
          <w:p>
            <w:pPr>
              <w:adjustRightInd w:val="0"/>
              <w:snapToGrid w:val="0"/>
              <w:spacing w:line="360" w:lineRule="auto"/>
              <w:ind w:firstLine="480" w:firstLineChars="200"/>
              <w:outlineLvl w:val="3"/>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由上表可见，本项目生产设备噪声经厂房隔声、设备减振及距离衰减后，</w:t>
            </w:r>
            <w:r>
              <w:rPr>
                <w:rFonts w:hint="default" w:ascii="Times New Roman" w:hAnsi="Times New Roman" w:cs="Times New Roman"/>
                <w:color w:val="auto"/>
                <w:sz w:val="24"/>
                <w:highlight w:val="none"/>
                <w:lang w:eastAsia="zh-CN"/>
              </w:rPr>
              <w:t>各</w:t>
            </w:r>
            <w:r>
              <w:rPr>
                <w:rFonts w:hint="default" w:ascii="Times New Roman" w:hAnsi="Times New Roman" w:cs="Times New Roman"/>
                <w:color w:val="auto"/>
                <w:sz w:val="24"/>
                <w:highlight w:val="none"/>
              </w:rPr>
              <w:t>厂界噪声贡献值均可以满足《声环境质量标准》（GB3096-2008）</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类标准要求</w:t>
            </w:r>
            <w:r>
              <w:rPr>
                <w:rFonts w:hint="eastAsia" w:cs="Times New Roman"/>
                <w:color w:val="auto"/>
                <w:sz w:val="24"/>
                <w:highlight w:val="none"/>
                <w:lang w:eastAsia="zh-CN"/>
              </w:rPr>
              <w:t>，项目周边</w:t>
            </w:r>
            <w:r>
              <w:rPr>
                <w:rFonts w:hint="eastAsia" w:cs="Times New Roman"/>
                <w:color w:val="auto"/>
                <w:sz w:val="24"/>
                <w:highlight w:val="none"/>
                <w:lang w:val="en-US" w:eastAsia="zh-CN"/>
              </w:rPr>
              <w:t>50m无环境保护目标</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项目</w:t>
            </w:r>
            <w:r>
              <w:rPr>
                <w:rFonts w:hint="eastAsia" w:cs="Times New Roman"/>
                <w:color w:val="auto"/>
                <w:sz w:val="24"/>
                <w:highlight w:val="none"/>
                <w:lang w:eastAsia="zh-CN"/>
              </w:rPr>
              <w:t>建设</w:t>
            </w:r>
            <w:r>
              <w:rPr>
                <w:rFonts w:hint="default" w:ascii="Times New Roman" w:hAnsi="Times New Roman" w:cs="Times New Roman"/>
                <w:color w:val="auto"/>
                <w:sz w:val="24"/>
                <w:highlight w:val="none"/>
              </w:rPr>
              <w:t>对区域环境噪声影响较小。</w:t>
            </w:r>
            <w:r>
              <w:rPr>
                <w:rFonts w:hint="eastAsia" w:ascii="Times New Roman" w:hAnsi="Times New Roman" w:cs="Times New Roman"/>
                <w:color w:val="auto"/>
                <w:sz w:val="24"/>
                <w:highlight w:val="none"/>
                <w:lang w:eastAsia="zh-CN"/>
              </w:rPr>
              <w:t>另外，</w:t>
            </w:r>
            <w:r>
              <w:rPr>
                <w:rFonts w:hint="eastAsia" w:cs="Times New Roman"/>
                <w:color w:val="auto"/>
                <w:sz w:val="24"/>
                <w:highlight w:val="none"/>
                <w:lang w:eastAsia="zh-CN"/>
              </w:rPr>
              <w:t>为了避免对村庄造成影响，运输过程中应</w:t>
            </w:r>
            <w:r>
              <w:rPr>
                <w:rFonts w:hint="eastAsia" w:ascii="Times New Roman" w:hAnsi="Times New Roman" w:cs="Times New Roman"/>
                <w:color w:val="auto"/>
                <w:sz w:val="24"/>
                <w:highlight w:val="none"/>
                <w:lang w:eastAsia="zh-CN"/>
              </w:rPr>
              <w:t>采取</w:t>
            </w:r>
            <w:r>
              <w:rPr>
                <w:rFonts w:hint="eastAsia" w:cs="Times New Roman"/>
                <w:color w:val="auto"/>
                <w:sz w:val="24"/>
                <w:highlight w:val="none"/>
                <w:lang w:eastAsia="zh-CN"/>
              </w:rPr>
              <w:t>限制</w:t>
            </w:r>
            <w:r>
              <w:rPr>
                <w:rFonts w:hint="eastAsia" w:ascii="Times New Roman" w:hAnsi="Times New Roman" w:cs="Times New Roman"/>
                <w:color w:val="auto"/>
                <w:sz w:val="24"/>
                <w:highlight w:val="none"/>
                <w:lang w:eastAsia="zh-CN"/>
              </w:rPr>
              <w:t>车速、禁止鸣笛、禁止夜间运输等措施，</w:t>
            </w:r>
            <w:r>
              <w:rPr>
                <w:rFonts w:hint="eastAsia" w:cs="Times New Roman"/>
                <w:color w:val="auto"/>
                <w:sz w:val="24"/>
                <w:highlight w:val="none"/>
                <w:lang w:eastAsia="zh-CN"/>
              </w:rPr>
              <w:t>降低运输过程中对沿线村庄的噪声影响。</w:t>
            </w:r>
          </w:p>
          <w:p>
            <w:pPr>
              <w:pStyle w:val="23"/>
              <w:snapToGrid w:val="0"/>
              <w:spacing w:line="360" w:lineRule="auto"/>
              <w:ind w:firstLine="482" w:firstLineChars="200"/>
              <w:jc w:val="both"/>
              <w:rPr>
                <w:rFonts w:hint="eastAsia" w:ascii="Times New Roman" w:cs="Times New Roman"/>
                <w:b/>
                <w:bCs/>
                <w:color w:val="auto"/>
                <w:highlight w:val="none"/>
                <w:lang w:val="en-US" w:eastAsia="zh-CN"/>
              </w:rPr>
            </w:pPr>
            <w:r>
              <w:rPr>
                <w:rFonts w:hint="eastAsia" w:ascii="Times New Roman" w:cs="Times New Roman"/>
                <w:b/>
                <w:bCs/>
                <w:color w:val="auto"/>
                <w:highlight w:val="none"/>
                <w:lang w:val="en-US" w:eastAsia="zh-CN"/>
              </w:rPr>
              <w:t>3.4监测计划</w:t>
            </w:r>
          </w:p>
          <w:p>
            <w:pPr>
              <w:pStyle w:val="23"/>
              <w:snapToGrid w:val="0"/>
              <w:spacing w:line="360" w:lineRule="auto"/>
              <w:ind w:firstLine="480" w:firstLineChars="200"/>
              <w:jc w:val="both"/>
              <w:rPr>
                <w:rFonts w:hint="eastAsia" w:ascii="Times New Roman" w:eastAsia="宋体" w:cs="Times New Roman"/>
                <w:b/>
                <w:bCs/>
                <w:color w:val="auto"/>
                <w:highlight w:val="none"/>
                <w:lang w:val="en-US" w:eastAsia="zh-CN"/>
              </w:rPr>
            </w:pPr>
            <w:r>
              <w:rPr>
                <w:rFonts w:hint="eastAsia" w:ascii="Times New Roman" w:hAnsi="Times New Roman" w:eastAsia="宋体" w:cs="Times New Roman"/>
                <w:color w:val="auto"/>
                <w:sz w:val="24"/>
                <w:szCs w:val="24"/>
                <w:highlight w:val="none"/>
                <w:lang w:eastAsia="zh-CN"/>
              </w:rPr>
              <w:t>本项目</w:t>
            </w:r>
            <w:r>
              <w:rPr>
                <w:rFonts w:hint="eastAsia" w:ascii="Times New Roman" w:cs="Times New Roman"/>
                <w:color w:val="auto"/>
                <w:sz w:val="24"/>
                <w:szCs w:val="24"/>
                <w:highlight w:val="none"/>
                <w:lang w:eastAsia="zh-CN"/>
              </w:rPr>
              <w:t>噪声</w:t>
            </w:r>
            <w:r>
              <w:rPr>
                <w:rFonts w:hint="eastAsia" w:ascii="Times New Roman" w:hAnsi="Times New Roman" w:eastAsia="宋体" w:cs="Times New Roman"/>
                <w:color w:val="auto"/>
                <w:sz w:val="24"/>
                <w:szCs w:val="24"/>
                <w:highlight w:val="none"/>
                <w:lang w:eastAsia="zh-CN"/>
              </w:rPr>
              <w:t>监测计划如下：</w:t>
            </w:r>
          </w:p>
          <w:p>
            <w:pPr>
              <w:adjustRightInd w:val="0"/>
              <w:snapToGrid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eastAsia" w:ascii="Times New Roman" w:hAnsi="Times New Roman" w:cs="Times New Roman"/>
                <w:b/>
                <w:bCs/>
                <w:color w:val="auto"/>
                <w:highlight w:val="none"/>
                <w:lang w:val="en-US" w:eastAsia="zh-CN"/>
              </w:rPr>
              <w:t>4-</w:t>
            </w:r>
            <w:r>
              <w:rPr>
                <w:rFonts w:hint="eastAsia" w:cs="Times New Roman"/>
                <w:b/>
                <w:bCs/>
                <w:color w:val="auto"/>
                <w:highlight w:val="none"/>
                <w:lang w:val="en-US" w:eastAsia="zh-CN"/>
              </w:rPr>
              <w:t>8</w:t>
            </w:r>
            <w:r>
              <w:rPr>
                <w:rFonts w:hint="default"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eastAsia="zh-CN"/>
              </w:rPr>
              <w:t>本项目废气监测计划</w:t>
            </w:r>
            <w:r>
              <w:rPr>
                <w:rFonts w:hint="default" w:ascii="Times New Roman" w:hAnsi="Times New Roman" w:cs="Times New Roman"/>
                <w:b/>
                <w:bCs/>
                <w:color w:val="auto"/>
                <w:highlight w:val="none"/>
              </w:rPr>
              <w:t>一览表</w:t>
            </w:r>
          </w:p>
          <w:tbl>
            <w:tblPr>
              <w:tblStyle w:val="24"/>
              <w:tblW w:w="495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444"/>
              <w:gridCol w:w="1764"/>
              <w:gridCol w:w="39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4"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监测点位</w:t>
                  </w:r>
                </w:p>
              </w:tc>
              <w:tc>
                <w:tcPr>
                  <w:tcW w:w="841"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监测因子</w:t>
                  </w:r>
                </w:p>
              </w:tc>
              <w:tc>
                <w:tcPr>
                  <w:tcW w:w="1027"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监测频率</w:t>
                  </w:r>
                </w:p>
              </w:tc>
              <w:tc>
                <w:tcPr>
                  <w:tcW w:w="2326"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4"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厂界四周</w:t>
                  </w:r>
                </w:p>
              </w:tc>
              <w:tc>
                <w:tcPr>
                  <w:tcW w:w="841"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等效A声级</w:t>
                  </w:r>
                </w:p>
              </w:tc>
              <w:tc>
                <w:tcPr>
                  <w:tcW w:w="1027"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每季度1次</w:t>
                  </w:r>
                </w:p>
              </w:tc>
              <w:tc>
                <w:tcPr>
                  <w:tcW w:w="2326"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《工业企业厂界环境噪声排放标准》</w:t>
                  </w: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类标准</w:t>
                  </w:r>
                </w:p>
              </w:tc>
            </w:tr>
          </w:tbl>
          <w:p>
            <w:pPr>
              <w:pStyle w:val="18"/>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left="0" w:firstLine="0" w:firstLineChars="0"/>
              <w:textAlignment w:val="auto"/>
              <w:rPr>
                <w:rFonts w:hint="default" w:ascii="Times New Roman" w:hAnsi="Times New Roman" w:cs="Times New Roman"/>
                <w:b/>
                <w:color w:val="auto"/>
                <w:spacing w:val="-6"/>
                <w:sz w:val="24"/>
                <w:szCs w:val="24"/>
                <w:highlight w:val="none"/>
              </w:rPr>
            </w:pPr>
            <w:r>
              <w:rPr>
                <w:rFonts w:hint="eastAsia" w:cs="Times New Roman"/>
                <w:b/>
                <w:color w:val="auto"/>
                <w:spacing w:val="-6"/>
                <w:sz w:val="24"/>
                <w:szCs w:val="24"/>
                <w:highlight w:val="none"/>
                <w:lang w:val="en-US" w:eastAsia="zh-CN"/>
              </w:rPr>
              <w:t>4</w:t>
            </w:r>
            <w:r>
              <w:rPr>
                <w:rFonts w:hint="default" w:ascii="Times New Roman" w:hAnsi="Times New Roman" w:cs="Times New Roman"/>
                <w:b/>
                <w:color w:val="auto"/>
                <w:spacing w:val="-6"/>
                <w:sz w:val="24"/>
                <w:szCs w:val="24"/>
                <w:highlight w:val="none"/>
              </w:rPr>
              <w:t>、固体废物</w:t>
            </w:r>
          </w:p>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4</w:t>
            </w:r>
            <w:r>
              <w:rPr>
                <w:rFonts w:hint="default" w:ascii="Times New Roman" w:hAnsi="Times New Roman" w:cs="Times New Roman"/>
                <w:b/>
                <w:color w:val="auto"/>
                <w:sz w:val="24"/>
                <w:highlight w:val="none"/>
              </w:rPr>
              <w:t>.1固体废物污染源</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项目固体废物包括</w:t>
            </w:r>
            <w:r>
              <w:rPr>
                <w:rFonts w:hint="eastAsia" w:cs="Times New Roman"/>
                <w:color w:val="auto"/>
                <w:sz w:val="24"/>
                <w:highlight w:val="none"/>
                <w:lang w:val="en-US" w:eastAsia="zh-CN"/>
              </w:rPr>
              <w:t>废包装材料、不合格品、除尘灰、</w:t>
            </w:r>
            <w:r>
              <w:rPr>
                <w:rFonts w:hint="default" w:ascii="Times New Roman" w:hAnsi="Times New Roman" w:cs="Times New Roman"/>
                <w:color w:val="auto"/>
                <w:sz w:val="24"/>
                <w:highlight w:val="none"/>
              </w:rPr>
              <w:t>废机油、废机油桶</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废棉纱</w:t>
            </w:r>
            <w:r>
              <w:rPr>
                <w:rFonts w:hint="default" w:ascii="Times New Roman" w:hAnsi="Times New Roman" w:cs="Times New Roman"/>
                <w:color w:val="auto"/>
                <w:sz w:val="24"/>
                <w:highlight w:val="none"/>
              </w:rPr>
              <w:t>及生活垃圾等。</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1</w:t>
            </w:r>
            <w:r>
              <w:rPr>
                <w:rFonts w:hint="eastAsia" w:cs="Times New Roman"/>
                <w:bCs/>
                <w:color w:val="auto"/>
                <w:sz w:val="24"/>
                <w:highlight w:val="none"/>
                <w:lang w:eastAsia="zh-CN"/>
              </w:rPr>
              <w:t>）</w:t>
            </w:r>
            <w:r>
              <w:rPr>
                <w:rFonts w:hint="eastAsia" w:cs="Times New Roman"/>
                <w:bCs/>
                <w:color w:val="auto"/>
                <w:sz w:val="24"/>
                <w:highlight w:val="none"/>
                <w:lang w:val="en-US" w:eastAsia="zh-CN"/>
              </w:rPr>
              <w:t>废包装材料</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项目原辅料使用过程中会产生废包装材料，主要为废包装袋、废塑料，产生量约2.0t/a，经收集后作为废品外售处置。</w:t>
            </w:r>
          </w:p>
          <w:p>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w:t>
            </w:r>
            <w:r>
              <w:rPr>
                <w:rFonts w:hint="eastAsia" w:cs="Times New Roman"/>
                <w:color w:val="auto"/>
                <w:sz w:val="24"/>
                <w:highlight w:val="none"/>
                <w:lang w:val="en-US" w:eastAsia="zh-CN"/>
              </w:rPr>
              <w:t>不合格品</w:t>
            </w:r>
          </w:p>
          <w:p>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项目生产过程中会产生少量的不合格品，主要成分为石膏，产生量约为产品的万分之一，则产生量为1.75t/a，经收集后送建材厂综合利用。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除尘灰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eastAsia="zh-CN"/>
              </w:rPr>
              <w:t>本项目采用布袋除尘器会产生除尘灰，</w:t>
            </w:r>
            <w:r>
              <w:rPr>
                <w:rFonts w:hint="eastAsia" w:cs="Times New Roman"/>
                <w:color w:val="auto"/>
                <w:sz w:val="24"/>
                <w:highlight w:val="none"/>
                <w:lang w:eastAsia="zh-CN"/>
              </w:rPr>
              <w:t>除尘灰落料口应进行全密闭。根据物料核算，</w:t>
            </w:r>
            <w:r>
              <w:rPr>
                <w:rFonts w:hint="default" w:ascii="Times New Roman" w:hAnsi="Times New Roman" w:cs="Times New Roman"/>
                <w:color w:val="auto"/>
                <w:sz w:val="24"/>
                <w:highlight w:val="none"/>
                <w:lang w:eastAsia="zh-CN"/>
              </w:rPr>
              <w:t>产生量约</w:t>
            </w:r>
            <w:r>
              <w:rPr>
                <w:rFonts w:hint="eastAsia" w:cs="Times New Roman"/>
                <w:color w:val="auto"/>
                <w:sz w:val="24"/>
                <w:highlight w:val="none"/>
                <w:lang w:val="en-US" w:eastAsia="zh-CN"/>
              </w:rPr>
              <w:t>50</w:t>
            </w:r>
            <w:r>
              <w:rPr>
                <w:rFonts w:hint="default" w:ascii="Times New Roman" w:hAnsi="Times New Roman" w:cs="Times New Roman"/>
                <w:color w:val="auto"/>
                <w:sz w:val="24"/>
                <w:highlight w:val="none"/>
                <w:lang w:val="en-US" w:eastAsia="zh-CN"/>
              </w:rPr>
              <w:t>t/a，经收集后</w:t>
            </w:r>
            <w:r>
              <w:rPr>
                <w:rFonts w:hint="eastAsia" w:ascii="Times New Roman" w:hAnsi="Times New Roman" w:cs="Times New Roman"/>
                <w:color w:val="auto"/>
                <w:sz w:val="24"/>
                <w:highlight w:val="none"/>
                <w:lang w:val="en-US" w:eastAsia="zh-CN"/>
              </w:rPr>
              <w:t>返回于生产工序</w:t>
            </w:r>
            <w:r>
              <w:rPr>
                <w:rFonts w:hint="default" w:ascii="Times New Roman" w:hAnsi="Times New Roman" w:cs="Times New Roman"/>
                <w:color w:val="auto"/>
                <w:sz w:val="24"/>
                <w:highlight w:val="none"/>
                <w:lang w:val="en-US" w:eastAsia="zh-CN"/>
              </w:rPr>
              <w:t>。</w:t>
            </w:r>
          </w:p>
          <w:p>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）废机油、废包装桶</w:t>
            </w:r>
            <w:r>
              <w:rPr>
                <w:rFonts w:hint="eastAsia" w:cs="Times New Roman"/>
                <w:color w:val="auto"/>
                <w:sz w:val="24"/>
                <w:highlight w:val="none"/>
                <w:lang w:eastAsia="zh-CN"/>
              </w:rPr>
              <w:t>、</w:t>
            </w:r>
            <w:r>
              <w:rPr>
                <w:rFonts w:hint="eastAsia" w:cs="Times New Roman"/>
                <w:color w:val="auto"/>
                <w:sz w:val="24"/>
                <w:highlight w:val="none"/>
                <w:lang w:val="en-US" w:eastAsia="zh-CN"/>
              </w:rPr>
              <w:t>废棉纱</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本项目设备在检修过程中产生废机油，废机油年产生量为0.0</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t/a，</w:t>
            </w:r>
            <w:r>
              <w:rPr>
                <w:rFonts w:hint="default" w:ascii="Times New Roman" w:hAnsi="Times New Roman" w:cs="Times New Roman"/>
                <w:color w:val="auto"/>
                <w:kern w:val="0"/>
                <w:sz w:val="24"/>
                <w:highlight w:val="none"/>
              </w:rPr>
              <w:t>属于危险废物HW08</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会产生少量的废机油桶，产生量为</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0个/年，属于危险废物</w:t>
            </w:r>
            <w:r>
              <w:rPr>
                <w:rFonts w:hint="default" w:ascii="Times New Roman" w:hAnsi="Times New Roman" w:eastAsia="TimesNewRomanPSMT" w:cs="Times New Roman"/>
                <w:color w:val="auto"/>
                <w:kern w:val="0"/>
                <w:sz w:val="24"/>
                <w:highlight w:val="none"/>
              </w:rPr>
              <w:t>HW49</w:t>
            </w:r>
            <w:r>
              <w:rPr>
                <w:rFonts w:hint="eastAsia" w:eastAsia="宋体" w:cs="Times New Roman"/>
                <w:color w:val="auto"/>
                <w:kern w:val="0"/>
                <w:sz w:val="24"/>
                <w:highlight w:val="none"/>
                <w:lang w:eastAsia="zh-CN"/>
              </w:rPr>
              <w:t>；</w:t>
            </w:r>
            <w:r>
              <w:rPr>
                <w:rFonts w:hint="eastAsia" w:eastAsia="宋体" w:cs="Times New Roman"/>
                <w:color w:val="auto"/>
                <w:kern w:val="0"/>
                <w:sz w:val="24"/>
                <w:highlight w:val="none"/>
                <w:lang w:val="en-US" w:eastAsia="zh-CN"/>
              </w:rPr>
              <w:t>废棉纱0.001t/a，</w:t>
            </w:r>
            <w:r>
              <w:rPr>
                <w:rFonts w:hint="default" w:ascii="Times New Roman" w:hAnsi="Times New Roman" w:cs="Times New Roman"/>
                <w:color w:val="auto"/>
                <w:kern w:val="0"/>
                <w:sz w:val="24"/>
                <w:highlight w:val="none"/>
              </w:rPr>
              <w:t>属于危险废物</w:t>
            </w:r>
            <w:r>
              <w:rPr>
                <w:rFonts w:hint="default" w:ascii="Times New Roman" w:hAnsi="Times New Roman" w:eastAsia="TimesNewRomanPSMT" w:cs="Times New Roman"/>
                <w:color w:val="auto"/>
                <w:kern w:val="0"/>
                <w:sz w:val="24"/>
                <w:highlight w:val="none"/>
              </w:rPr>
              <w:t>HW49。</w:t>
            </w:r>
            <w:r>
              <w:rPr>
                <w:rFonts w:hint="default" w:ascii="Times New Roman" w:hAnsi="Times New Roman" w:cs="Times New Roman"/>
                <w:color w:val="auto"/>
                <w:sz w:val="24"/>
                <w:highlight w:val="none"/>
              </w:rPr>
              <w:t>建设单位应设专人对设备进行维护、保养，并收集废机油置于标准容器内，储存于危险废物暂存间，定期交由有资质单位处理。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生活垃圾</w:t>
            </w:r>
          </w:p>
          <w:p>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本项目劳动定员</w:t>
            </w:r>
            <w:r>
              <w:rPr>
                <w:rFonts w:hint="eastAsia" w:cs="Times New Roman"/>
                <w:bCs/>
                <w:color w:val="auto"/>
                <w:sz w:val="24"/>
                <w:highlight w:val="none"/>
                <w:lang w:val="en-US" w:eastAsia="zh-CN"/>
              </w:rPr>
              <w:t>10</w:t>
            </w:r>
            <w:r>
              <w:rPr>
                <w:rFonts w:hint="default" w:ascii="Times New Roman" w:hAnsi="Times New Roman" w:cs="Times New Roman"/>
                <w:bCs/>
                <w:color w:val="auto"/>
                <w:sz w:val="24"/>
                <w:highlight w:val="none"/>
              </w:rPr>
              <w:t>人，生活垃圾按0.5kg/人·天计算，生活垃圾产生量为</w:t>
            </w:r>
            <w:r>
              <w:rPr>
                <w:rFonts w:hint="eastAsia" w:cs="Times New Roman"/>
                <w:bCs/>
                <w:color w:val="auto"/>
                <w:sz w:val="24"/>
                <w:highlight w:val="none"/>
                <w:lang w:val="en-US" w:eastAsia="zh-CN"/>
              </w:rPr>
              <w:t>1.5</w:t>
            </w:r>
            <w:r>
              <w:rPr>
                <w:rFonts w:hint="default" w:ascii="Times New Roman" w:hAnsi="Times New Roman" w:cs="Times New Roman"/>
                <w:bCs/>
                <w:color w:val="auto"/>
                <w:sz w:val="24"/>
                <w:highlight w:val="none"/>
              </w:rPr>
              <w:t>t/a。厂区内设垃圾桶，定期送环卫部门收集处理。</w:t>
            </w:r>
          </w:p>
          <w:p>
            <w:pPr>
              <w:adjustRightInd w:val="0"/>
              <w:snapToGrid w:val="0"/>
              <w:spacing w:line="360" w:lineRule="auto"/>
              <w:ind w:firstLine="480" w:firstLineChars="200"/>
              <w:rPr>
                <w:rFonts w:hint="default" w:ascii="Times New Roman" w:hAnsi="Times New Roman" w:cs="Times New Roman"/>
                <w:b/>
                <w:bCs/>
                <w:color w:val="auto"/>
                <w:sz w:val="24"/>
                <w:highlight w:val="none"/>
              </w:rPr>
            </w:pPr>
            <w:r>
              <w:rPr>
                <w:rFonts w:hint="default" w:ascii="Times New Roman" w:hAnsi="Times New Roman" w:cs="Times New Roman"/>
                <w:color w:val="auto"/>
                <w:sz w:val="24"/>
                <w:highlight w:val="none"/>
              </w:rPr>
              <w:t>综上，项目固体废物产排情况及处置情况见表</w:t>
            </w:r>
            <w:r>
              <w:rPr>
                <w:rFonts w:hint="eastAsia" w:cs="Times New Roman"/>
                <w:color w:val="auto"/>
                <w:sz w:val="24"/>
                <w:highlight w:val="none"/>
                <w:lang w:val="en-US" w:eastAsia="zh-CN"/>
              </w:rPr>
              <w:t>4-9</w:t>
            </w:r>
            <w:r>
              <w:rPr>
                <w:rFonts w:hint="default" w:ascii="Times New Roman" w:hAnsi="Times New Roman" w:cs="Times New Roman"/>
                <w:color w:val="auto"/>
                <w:sz w:val="24"/>
                <w:highlight w:val="none"/>
              </w:rPr>
              <w:t>。</w:t>
            </w:r>
          </w:p>
          <w:p>
            <w:pPr>
              <w:pStyle w:val="21"/>
              <w:adjustRightInd w:val="0"/>
              <w:snapToGrid w:val="0"/>
              <w:spacing w:after="0"/>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eastAsia" w:cs="Times New Roman"/>
                <w:b/>
                <w:bCs/>
                <w:color w:val="auto"/>
                <w:szCs w:val="21"/>
                <w:highlight w:val="none"/>
                <w:lang w:val="en-US" w:eastAsia="zh-CN"/>
              </w:rPr>
              <w:t>4-9</w:t>
            </w:r>
            <w:r>
              <w:rPr>
                <w:rFonts w:hint="default" w:ascii="Times New Roman" w:hAnsi="Times New Roman" w:cs="Times New Roman"/>
                <w:b/>
                <w:bCs/>
                <w:color w:val="auto"/>
                <w:szCs w:val="21"/>
                <w:highlight w:val="none"/>
              </w:rPr>
              <w:t xml:space="preserve">  固体废物产排及治理措施表</w:t>
            </w:r>
          </w:p>
          <w:tbl>
            <w:tblPr>
              <w:tblStyle w:val="24"/>
              <w:tblW w:w="84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8"/>
              <w:gridCol w:w="1175"/>
              <w:gridCol w:w="1193"/>
              <w:gridCol w:w="1035"/>
              <w:gridCol w:w="1020"/>
              <w:gridCol w:w="1080"/>
              <w:gridCol w:w="25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17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193"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产生环节</w:t>
                  </w: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属性</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废物代码</w:t>
                  </w:r>
                </w:p>
              </w:tc>
              <w:tc>
                <w:tcPr>
                  <w:tcW w:w="256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最终</w:t>
                  </w:r>
                  <w:r>
                    <w:rPr>
                      <w:rFonts w:hint="default" w:ascii="Times New Roman" w:hAnsi="Times New Roman" w:eastAsia="宋体" w:cs="Times New Roman"/>
                      <w:color w:val="auto"/>
                      <w:sz w:val="21"/>
                      <w:szCs w:val="21"/>
                      <w:highlight w:val="none"/>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17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废包装材料</w:t>
                  </w:r>
                </w:p>
              </w:tc>
              <w:tc>
                <w:tcPr>
                  <w:tcW w:w="1193"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原料使用</w:t>
                  </w: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一般固废</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256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作为废品外售处置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117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不合格品</w:t>
                  </w:r>
                </w:p>
              </w:tc>
              <w:tc>
                <w:tcPr>
                  <w:tcW w:w="1193"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生产过程</w:t>
                  </w: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一般固废</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1.75</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56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送建材厂综合利用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w:t>
                  </w:r>
                </w:p>
              </w:tc>
              <w:tc>
                <w:tcPr>
                  <w:tcW w:w="117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除尘灰</w:t>
                  </w:r>
                </w:p>
              </w:tc>
              <w:tc>
                <w:tcPr>
                  <w:tcW w:w="1193"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布袋除尘器</w:t>
                  </w: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一般固废</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256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返回于生产工序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w:t>
                  </w:r>
                </w:p>
              </w:tc>
              <w:tc>
                <w:tcPr>
                  <w:tcW w:w="1175" w:type="dxa"/>
                  <w:noWrap w:val="0"/>
                  <w:tcMar>
                    <w:top w:w="0" w:type="dxa"/>
                    <w:left w:w="57" w:type="dxa"/>
                    <w:bottom w:w="0" w:type="dxa"/>
                    <w:right w:w="57" w:type="dxa"/>
                  </w:tcMar>
                  <w:vAlign w:val="center"/>
                </w:tcPr>
                <w:p>
                  <w:pPr>
                    <w:keepNext w:val="0"/>
                    <w:keepLines w:val="0"/>
                    <w:pageBreakBefore w:val="0"/>
                    <w:widowControl w:val="0"/>
                    <w:tabs>
                      <w:tab w:val="left" w:pos="74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w:t>
                  </w:r>
                </w:p>
              </w:tc>
              <w:tc>
                <w:tcPr>
                  <w:tcW w:w="1193" w:type="dxa"/>
                  <w:vMerge w:val="restar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设备维修</w:t>
                  </w: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危险废物</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rPr>
                    <w:t>0.0</w:t>
                  </w:r>
                  <w:r>
                    <w:rPr>
                      <w:rFonts w:hint="eastAsia" w:cs="Times New Roman"/>
                      <w:color w:val="auto"/>
                      <w:spacing w:val="4"/>
                      <w:sz w:val="21"/>
                      <w:szCs w:val="21"/>
                      <w:highlight w:val="none"/>
                      <w:lang w:val="en-US" w:eastAsia="zh-CN"/>
                    </w:rPr>
                    <w:t>5</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w:t>
                  </w:r>
                </w:p>
              </w:tc>
              <w:tc>
                <w:tcPr>
                  <w:tcW w:w="2565" w:type="dxa"/>
                  <w:vMerge w:val="restar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经危险废物暂存间收集，定期交有资质单位处置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8"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p>
              </w:tc>
              <w:tc>
                <w:tcPr>
                  <w:tcW w:w="1175" w:type="dxa"/>
                  <w:noWrap w:val="0"/>
                  <w:tcMar>
                    <w:top w:w="0" w:type="dxa"/>
                    <w:left w:w="57" w:type="dxa"/>
                    <w:bottom w:w="0" w:type="dxa"/>
                    <w:right w:w="57" w:type="dxa"/>
                  </w:tcMar>
                  <w:vAlign w:val="center"/>
                </w:tcPr>
                <w:p>
                  <w:pPr>
                    <w:keepNext w:val="0"/>
                    <w:keepLines w:val="0"/>
                    <w:pageBreakBefore w:val="0"/>
                    <w:widowControl w:val="0"/>
                    <w:tabs>
                      <w:tab w:val="left" w:pos="74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废机油桶</w:t>
                  </w:r>
                </w:p>
              </w:tc>
              <w:tc>
                <w:tcPr>
                  <w:tcW w:w="1193" w:type="dxa"/>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危险废物</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sz w:val="21"/>
                      <w:szCs w:val="21"/>
                      <w:highlight w:val="none"/>
                    </w:rPr>
                  </w:pPr>
                  <w:r>
                    <w:rPr>
                      <w:rFonts w:hint="eastAsia" w:cs="Times New Roman"/>
                      <w:color w:val="auto"/>
                      <w:spacing w:val="4"/>
                      <w:sz w:val="21"/>
                      <w:szCs w:val="21"/>
                      <w:highlight w:val="none"/>
                      <w:lang w:val="en-US" w:eastAsia="zh-CN"/>
                    </w:rPr>
                    <w:t>20</w:t>
                  </w:r>
                  <w:r>
                    <w:rPr>
                      <w:rFonts w:hint="default" w:ascii="Times New Roman" w:hAnsi="Times New Roman" w:eastAsia="宋体" w:cs="Times New Roman"/>
                      <w:color w:val="auto"/>
                      <w:spacing w:val="4"/>
                      <w:sz w:val="21"/>
                      <w:szCs w:val="21"/>
                      <w:highlight w:val="none"/>
                    </w:rPr>
                    <w:t>个/年</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w:t>
                  </w:r>
                </w:p>
              </w:tc>
              <w:tc>
                <w:tcPr>
                  <w:tcW w:w="2565" w:type="dxa"/>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8"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175" w:type="dxa"/>
                  <w:noWrap w:val="0"/>
                  <w:tcMar>
                    <w:top w:w="0" w:type="dxa"/>
                    <w:left w:w="57" w:type="dxa"/>
                    <w:bottom w:w="0" w:type="dxa"/>
                    <w:right w:w="57" w:type="dxa"/>
                  </w:tcMar>
                  <w:vAlign w:val="center"/>
                </w:tcPr>
                <w:p>
                  <w:pPr>
                    <w:keepNext w:val="0"/>
                    <w:keepLines w:val="0"/>
                    <w:pageBreakBefore w:val="0"/>
                    <w:widowControl w:val="0"/>
                    <w:tabs>
                      <w:tab w:val="left" w:pos="7470"/>
                    </w:tabs>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废棉纱</w:t>
                  </w:r>
                </w:p>
              </w:tc>
              <w:tc>
                <w:tcPr>
                  <w:tcW w:w="1193" w:type="dxa"/>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危险废物</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0.0</w:t>
                  </w:r>
                  <w:r>
                    <w:rPr>
                      <w:rFonts w:hint="eastAsia" w:cs="Times New Roman"/>
                      <w:color w:val="auto"/>
                      <w:spacing w:val="4"/>
                      <w:sz w:val="21"/>
                      <w:szCs w:val="21"/>
                      <w:highlight w:val="none"/>
                      <w:lang w:val="en-US" w:eastAsia="zh-CN"/>
                    </w:rPr>
                    <w:t>01</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HW08</w:t>
                  </w:r>
                </w:p>
              </w:tc>
              <w:tc>
                <w:tcPr>
                  <w:tcW w:w="2565" w:type="dxa"/>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175" w:type="dxa"/>
                  <w:noWrap w:val="0"/>
                  <w:tcMar>
                    <w:top w:w="0" w:type="dxa"/>
                    <w:left w:w="57" w:type="dxa"/>
                    <w:bottom w:w="0" w:type="dxa"/>
                    <w:right w:w="57" w:type="dxa"/>
                  </w:tcMar>
                  <w:vAlign w:val="center"/>
                </w:tcPr>
                <w:p>
                  <w:pPr>
                    <w:keepNext w:val="0"/>
                    <w:keepLines w:val="0"/>
                    <w:pageBreakBefore w:val="0"/>
                    <w:widowControl w:val="0"/>
                    <w:tabs>
                      <w:tab w:val="left" w:pos="74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193"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w:t>
                  </w: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z w:val="21"/>
                      <w:szCs w:val="21"/>
                      <w:highlight w:val="none"/>
                    </w:rPr>
                    <w:t>/</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cs="Times New Roman"/>
                      <w:color w:val="auto"/>
                      <w:sz w:val="21"/>
                      <w:szCs w:val="21"/>
                      <w:highlight w:val="none"/>
                      <w:lang w:val="en-US" w:eastAsia="zh-CN"/>
                    </w:rPr>
                    <w:t>1.5</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z w:val="21"/>
                      <w:szCs w:val="21"/>
                      <w:highlight w:val="none"/>
                    </w:rPr>
                    <w:t>/</w:t>
                  </w:r>
                </w:p>
              </w:tc>
              <w:tc>
                <w:tcPr>
                  <w:tcW w:w="256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送环卫指定地点处置</w:t>
                  </w:r>
                </w:p>
              </w:tc>
            </w:tr>
          </w:tbl>
          <w:p>
            <w:pPr>
              <w:pStyle w:val="23"/>
              <w:snapToGrid w:val="0"/>
              <w:spacing w:before="120" w:beforeLines="50" w:line="360" w:lineRule="auto"/>
              <w:ind w:firstLine="482" w:firstLineChars="200"/>
              <w:jc w:val="both"/>
              <w:rPr>
                <w:rFonts w:hint="default" w:ascii="Times New Roman" w:hAnsi="Times New Roman" w:cs="Times New Roman"/>
                <w:b/>
                <w:bCs/>
                <w:color w:val="auto"/>
                <w:highlight w:val="none"/>
              </w:rPr>
            </w:pPr>
            <w:r>
              <w:rPr>
                <w:rFonts w:hint="eastAsia" w:ascii="Times New Roman" w:cs="Times New Roman"/>
                <w:b/>
                <w:bCs/>
                <w:color w:val="auto"/>
                <w:highlight w:val="none"/>
                <w:lang w:val="en-US" w:eastAsia="zh-CN"/>
              </w:rPr>
              <w:t>4</w:t>
            </w:r>
            <w:r>
              <w:rPr>
                <w:rFonts w:hint="default" w:ascii="Times New Roman" w:hAnsi="Times New Roman" w:cs="Times New Roman"/>
                <w:b/>
                <w:bCs/>
                <w:color w:val="auto"/>
                <w:highlight w:val="none"/>
              </w:rPr>
              <w:t>.2固体废物</w:t>
            </w:r>
            <w:r>
              <w:rPr>
                <w:rFonts w:hint="eastAsia" w:ascii="Times New Roman" w:cs="Times New Roman"/>
                <w:b/>
                <w:bCs/>
                <w:color w:val="auto"/>
                <w:highlight w:val="none"/>
                <w:lang w:eastAsia="zh-CN"/>
              </w:rPr>
              <w:t>治理</w:t>
            </w:r>
            <w:r>
              <w:rPr>
                <w:rFonts w:hint="default" w:ascii="Times New Roman" w:hAnsi="Times New Roman" w:cs="Times New Roman"/>
                <w:b/>
                <w:bCs/>
                <w:color w:val="auto"/>
                <w:highlight w:val="none"/>
              </w:rPr>
              <w:t>措施</w:t>
            </w:r>
            <w:r>
              <w:rPr>
                <w:rFonts w:hint="eastAsia" w:ascii="Times New Roman" w:cs="Times New Roman"/>
                <w:b/>
                <w:bCs/>
                <w:color w:val="auto"/>
                <w:highlight w:val="none"/>
                <w:lang w:eastAsia="zh-CN"/>
              </w:rPr>
              <w:t>管理要求</w:t>
            </w:r>
          </w:p>
          <w:p>
            <w:pPr>
              <w:pStyle w:val="23"/>
              <w:snapToGrid w:val="0"/>
              <w:spacing w:line="360" w:lineRule="auto"/>
              <w:ind w:firstLine="480" w:firstLineChars="200"/>
              <w:jc w:val="both"/>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（1）</w:t>
            </w:r>
            <w:r>
              <w:rPr>
                <w:rFonts w:hint="eastAsia" w:ascii="Times New Roman" w:cs="Times New Roman"/>
                <w:color w:val="auto"/>
                <w:highlight w:val="none"/>
                <w:lang w:val="en-US" w:eastAsia="zh-CN"/>
              </w:rPr>
              <w:t>废包装材料</w:t>
            </w:r>
            <w:r>
              <w:rPr>
                <w:rFonts w:hint="eastAsia" w:ascii="Times New Roman" w:cs="Times New Roman"/>
                <w:color w:val="auto"/>
                <w:highlight w:val="none"/>
                <w:lang w:eastAsia="zh-CN"/>
              </w:rPr>
              <w:t>、</w:t>
            </w:r>
            <w:r>
              <w:rPr>
                <w:rFonts w:hint="eastAsia" w:ascii="Times New Roman" w:cs="Times New Roman"/>
                <w:color w:val="auto"/>
                <w:highlight w:val="none"/>
                <w:lang w:val="en-US" w:eastAsia="zh-CN"/>
              </w:rPr>
              <w:t>不合格品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eastAsia="zh-CN"/>
              </w:rPr>
              <w:t>本项目产生的</w:t>
            </w:r>
            <w:r>
              <w:rPr>
                <w:rFonts w:hint="eastAsia" w:cs="Times New Roman"/>
                <w:color w:val="auto"/>
                <w:sz w:val="24"/>
                <w:highlight w:val="none"/>
                <w:lang w:val="en-US" w:eastAsia="zh-CN"/>
              </w:rPr>
              <w:t>废包装材料、不合格品均属于一般固废，应按照相关要求建设临时储存区，经收集后合理处置；除尘灰为粉状物料，应采用密闭料仓进行储存，返回于生产工序。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32"/>
                <w:highlight w:val="none"/>
              </w:rPr>
            </w:pPr>
            <w:r>
              <w:rPr>
                <w:rFonts w:hint="eastAsia" w:cs="Times New Roman"/>
                <w:color w:val="auto"/>
                <w:sz w:val="24"/>
                <w:highlight w:val="none"/>
                <w:lang w:eastAsia="zh-CN"/>
              </w:rPr>
              <w:t>一般固废暂存区</w:t>
            </w:r>
            <w:r>
              <w:rPr>
                <w:rFonts w:hint="default" w:ascii="Times New Roman" w:hAnsi="Times New Roman" w:cs="Times New Roman"/>
                <w:color w:val="auto"/>
                <w:sz w:val="24"/>
                <w:highlight w:val="none"/>
              </w:rPr>
              <w:t>应严格按照《一般工业固体废物贮存</w:t>
            </w:r>
            <w:r>
              <w:rPr>
                <w:rFonts w:hint="eastAsia" w:cs="Times New Roman"/>
                <w:color w:val="auto"/>
                <w:sz w:val="24"/>
                <w:highlight w:val="none"/>
                <w:lang w:val="en-US" w:eastAsia="zh-CN"/>
              </w:rPr>
              <w:t>和填埋</w:t>
            </w:r>
            <w:r>
              <w:rPr>
                <w:rFonts w:hint="default" w:ascii="Times New Roman" w:hAnsi="Times New Roman" w:cs="Times New Roman"/>
                <w:color w:val="auto"/>
                <w:sz w:val="24"/>
                <w:highlight w:val="none"/>
              </w:rPr>
              <w:t>污染控制标准》（GB18599－20</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rPr>
              <w:t>）要求</w:t>
            </w:r>
            <w:r>
              <w:rPr>
                <w:rFonts w:hint="eastAsia" w:cs="Times New Roman"/>
                <w:color w:val="auto"/>
                <w:sz w:val="24"/>
                <w:highlight w:val="none"/>
                <w:lang w:eastAsia="zh-CN"/>
              </w:rPr>
              <w:t>执行</w: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32"/>
                <w:highlight w:val="none"/>
              </w:rPr>
              <w:t>具体要求如下：</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①临时储存区应做到“防风、防雨、防晒”；</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②各类固废应按性质分区堆放；</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③临时储存区</w:t>
            </w:r>
            <w:r>
              <w:rPr>
                <w:rFonts w:hint="default" w:ascii="Times New Roman" w:hAnsi="Times New Roman" w:cs="Times New Roman"/>
                <w:color w:val="auto"/>
                <w:sz w:val="24"/>
                <w:szCs w:val="24"/>
                <w:highlight w:val="none"/>
              </w:rPr>
              <w:t>应采取防止粉尘污染的措施。</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④临时储存区</w:t>
            </w:r>
            <w:r>
              <w:rPr>
                <w:rFonts w:hint="default" w:ascii="Times New Roman" w:hAnsi="Times New Roman" w:cs="Times New Roman"/>
                <w:color w:val="auto"/>
                <w:sz w:val="24"/>
                <w:szCs w:val="24"/>
                <w:highlight w:val="none"/>
              </w:rPr>
              <w:t>周边应设置导流渠。</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⑤</w:t>
            </w:r>
            <w:r>
              <w:rPr>
                <w:rFonts w:hint="default" w:ascii="Times New Roman" w:hAnsi="Times New Roman" w:cs="Times New Roman"/>
                <w:color w:val="auto"/>
                <w:sz w:val="24"/>
                <w:szCs w:val="24"/>
                <w:highlight w:val="none"/>
              </w:rPr>
              <w:t>为防止一般工业固体废物和渗滤液的流失，应构筑堤土墙等设施。</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⑥</w:t>
            </w:r>
            <w:r>
              <w:rPr>
                <w:rFonts w:hint="default" w:ascii="Times New Roman" w:hAnsi="Times New Roman" w:cs="Times New Roman"/>
                <w:color w:val="auto"/>
                <w:sz w:val="24"/>
                <w:szCs w:val="24"/>
                <w:highlight w:val="none"/>
              </w:rPr>
              <w:t>加强监督管理，贮存、处置场应按GB1556.2设置环境保护图形标志。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（2）废机油、废包装桶</w:t>
            </w:r>
            <w:r>
              <w:rPr>
                <w:rFonts w:hint="eastAsia" w:cs="Times New Roman"/>
                <w:color w:val="auto"/>
                <w:sz w:val="24"/>
                <w:highlight w:val="none"/>
                <w:lang w:eastAsia="zh-CN"/>
              </w:rPr>
              <w:t>、</w:t>
            </w:r>
            <w:r>
              <w:rPr>
                <w:rFonts w:hint="eastAsia" w:cs="Times New Roman"/>
                <w:color w:val="auto"/>
                <w:sz w:val="24"/>
                <w:highlight w:val="none"/>
                <w:lang w:val="en-US" w:eastAsia="zh-CN"/>
              </w:rPr>
              <w:t>废棉纱</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本项目危险废物主要为设备检修过程中产生的少量废机油、废包装桶</w:t>
            </w:r>
            <w:r>
              <w:rPr>
                <w:rFonts w:hint="eastAsia" w:cs="Times New Roman"/>
                <w:color w:val="auto"/>
                <w:sz w:val="24"/>
                <w:highlight w:val="none"/>
                <w:lang w:eastAsia="zh-CN"/>
              </w:rPr>
              <w:t>、</w:t>
            </w:r>
            <w:r>
              <w:rPr>
                <w:rFonts w:hint="eastAsia" w:cs="Times New Roman"/>
                <w:color w:val="auto"/>
                <w:sz w:val="24"/>
                <w:highlight w:val="none"/>
                <w:lang w:val="en-US" w:eastAsia="zh-CN"/>
              </w:rPr>
              <w:t>废棉纱等</w:t>
            </w:r>
            <w:r>
              <w:rPr>
                <w:rFonts w:hint="default" w:ascii="Times New Roman" w:hAnsi="Times New Roman" w:cs="Times New Roman"/>
                <w:color w:val="auto"/>
                <w:sz w:val="24"/>
                <w:highlight w:val="none"/>
              </w:rPr>
              <w:t>，经采用密封容器收集后，储存于危险废物暂存间，定期交有资质单位处理。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1）危废暂存间设置方案</w:t>
            </w:r>
          </w:p>
          <w:p>
            <w:pPr>
              <w:pStyle w:val="10"/>
              <w:keepNext w:val="0"/>
              <w:keepLines w:val="0"/>
              <w:pageBreakBefore w:val="0"/>
              <w:widowControl w:val="0"/>
              <w:kinsoku/>
              <w:wordWrap/>
              <w:overflowPunct/>
              <w:topLinePunct w:val="0"/>
              <w:autoSpaceDE/>
              <w:autoSpaceDN/>
              <w:bidi w:val="0"/>
              <w:adjustRightInd w:val="0"/>
              <w:snapToGrid w:val="0"/>
              <w:spacing w:line="360" w:lineRule="auto"/>
              <w:ind w:left="0" w:leftChars="0" w:firstLine="504" w:firstLineChars="200"/>
              <w:jc w:val="both"/>
              <w:rPr>
                <w:rFonts w:hint="default" w:ascii="Times New Roman" w:hAnsi="Times New Roman" w:eastAsia="宋体" w:cs="Times New Roman"/>
                <w:b/>
                <w:color w:val="auto"/>
                <w:spacing w:val="6"/>
                <w:sz w:val="24"/>
                <w:szCs w:val="24"/>
                <w:highlight w:val="none"/>
              </w:rPr>
            </w:pPr>
            <w:r>
              <w:rPr>
                <w:rFonts w:hint="default" w:ascii="Times New Roman" w:hAnsi="Times New Roman" w:eastAsia="宋体" w:cs="Times New Roman"/>
                <w:color w:val="auto"/>
                <w:spacing w:val="6"/>
                <w:sz w:val="24"/>
                <w:szCs w:val="24"/>
                <w:highlight w:val="none"/>
              </w:rPr>
              <w:t>环评要求企业应设置危废暂存间，占地面积</w:t>
            </w:r>
            <w:r>
              <w:rPr>
                <w:rFonts w:hint="eastAsia" w:cs="Times New Roman"/>
                <w:color w:val="auto"/>
                <w:spacing w:val="6"/>
                <w:sz w:val="24"/>
                <w:szCs w:val="24"/>
                <w:highlight w:val="none"/>
                <w:lang w:val="en-US" w:eastAsia="zh-CN"/>
              </w:rPr>
              <w:t>5</w:t>
            </w:r>
            <w:r>
              <w:rPr>
                <w:rFonts w:hint="default" w:ascii="Times New Roman" w:hAnsi="Times New Roman" w:eastAsia="宋体" w:cs="Times New Roman"/>
                <w:color w:val="auto"/>
                <w:spacing w:val="6"/>
                <w:sz w:val="24"/>
                <w:szCs w:val="24"/>
                <w:highlight w:val="none"/>
              </w:rPr>
              <w:t>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，储存能力为</w:t>
            </w:r>
            <w:r>
              <w:rPr>
                <w:rFonts w:hint="eastAsia" w:cs="Times New Roman"/>
                <w:color w:val="auto"/>
                <w:spacing w:val="6"/>
                <w:sz w:val="24"/>
                <w:szCs w:val="24"/>
                <w:highlight w:val="none"/>
                <w:lang w:val="en-US" w:eastAsia="zh-CN"/>
              </w:rPr>
              <w:t>1</w:t>
            </w:r>
            <w:r>
              <w:rPr>
                <w:rFonts w:hint="default" w:ascii="Times New Roman" w:hAnsi="Times New Roman" w:eastAsia="宋体" w:cs="Times New Roman"/>
                <w:color w:val="auto"/>
                <w:spacing w:val="6"/>
                <w:sz w:val="24"/>
                <w:szCs w:val="24"/>
                <w:highlight w:val="none"/>
              </w:rPr>
              <w:t>t/a，</w:t>
            </w:r>
            <w:r>
              <w:rPr>
                <w:rFonts w:hint="default" w:ascii="Times New Roman" w:hAnsi="Times New Roman" w:eastAsia="宋体" w:cs="Times New Roman"/>
                <w:color w:val="auto"/>
                <w:sz w:val="24"/>
                <w:szCs w:val="24"/>
                <w:highlight w:val="none"/>
              </w:rPr>
              <w:t>并设专人管理，门口设有警示标志。</w:t>
            </w:r>
            <w:r>
              <w:rPr>
                <w:rFonts w:hint="default" w:ascii="Times New Roman" w:hAnsi="Times New Roman" w:eastAsia="宋体" w:cs="Times New Roman"/>
                <w:color w:val="auto"/>
                <w:spacing w:val="6"/>
                <w:sz w:val="24"/>
                <w:szCs w:val="24"/>
                <w:highlight w:val="none"/>
              </w:rPr>
              <w:t>按照</w:t>
            </w:r>
            <w:r>
              <w:rPr>
                <w:rFonts w:hint="default" w:ascii="Times New Roman" w:hAnsi="Times New Roman" w:eastAsia="宋体" w:cs="Times New Roman"/>
                <w:color w:val="auto"/>
                <w:sz w:val="24"/>
                <w:szCs w:val="24"/>
                <w:highlight w:val="none"/>
                <w:lang w:val="eu-ES"/>
              </w:rPr>
              <w:t>《危险废物贮存污染控制标准》进行建设，</w:t>
            </w:r>
            <w:r>
              <w:rPr>
                <w:rFonts w:hint="default" w:ascii="Times New Roman" w:hAnsi="Times New Roman" w:eastAsia="宋体" w:cs="Times New Roman"/>
                <w:color w:val="auto"/>
                <w:sz w:val="24"/>
                <w:szCs w:val="24"/>
                <w:highlight w:val="none"/>
              </w:rPr>
              <w:t>能够满足“防风、防雨、防渗”的要求。危废暂存场所的基本情况如下表：</w:t>
            </w:r>
          </w:p>
          <w:p>
            <w:pPr>
              <w:keepNext w:val="0"/>
              <w:keepLines w:val="0"/>
              <w:pageBreakBefore w:val="0"/>
              <w:widowControl w:val="0"/>
              <w:tabs>
                <w:tab w:val="left" w:pos="4140"/>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p>
          <w:p>
            <w:pPr>
              <w:keepNext w:val="0"/>
              <w:keepLines w:val="0"/>
              <w:pageBreakBefore w:val="0"/>
              <w:widowControl w:val="0"/>
              <w:tabs>
                <w:tab w:val="left" w:pos="4140"/>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p>
          <w:p>
            <w:pPr>
              <w:keepNext w:val="0"/>
              <w:keepLines w:val="0"/>
              <w:pageBreakBefore w:val="0"/>
              <w:widowControl w:val="0"/>
              <w:tabs>
                <w:tab w:val="left" w:pos="4140"/>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p>
          <w:p>
            <w:pPr>
              <w:keepNext w:val="0"/>
              <w:keepLines w:val="0"/>
              <w:pageBreakBefore w:val="0"/>
              <w:widowControl w:val="0"/>
              <w:tabs>
                <w:tab w:val="left" w:pos="4140"/>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p>
          <w:p>
            <w:pPr>
              <w:keepNext w:val="0"/>
              <w:keepLines w:val="0"/>
              <w:pageBreakBefore w:val="0"/>
              <w:widowControl w:val="0"/>
              <w:tabs>
                <w:tab w:val="left" w:pos="4140"/>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eastAsia" w:cs="Times New Roman"/>
                <w:b/>
                <w:bCs/>
                <w:color w:val="auto"/>
                <w:szCs w:val="21"/>
                <w:highlight w:val="none"/>
                <w:lang w:val="en-US" w:eastAsia="zh-CN"/>
              </w:rPr>
              <w:t>4-10</w:t>
            </w:r>
            <w:r>
              <w:rPr>
                <w:rFonts w:hint="default" w:ascii="Times New Roman" w:hAnsi="Times New Roman" w:cs="Times New Roman"/>
                <w:b/>
                <w:bCs/>
                <w:color w:val="auto"/>
                <w:szCs w:val="21"/>
                <w:highlight w:val="none"/>
              </w:rPr>
              <w:t xml:space="preserve"> 危险废物汇总表</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907"/>
              <w:gridCol w:w="1118"/>
              <w:gridCol w:w="917"/>
              <w:gridCol w:w="1146"/>
              <w:gridCol w:w="720"/>
              <w:gridCol w:w="623"/>
              <w:gridCol w:w="670"/>
              <w:gridCol w:w="1194"/>
              <w:gridCol w:w="667"/>
              <w:gridCol w:w="6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581" w:hRule="atLeast"/>
                <w:jc w:val="center"/>
              </w:trPr>
              <w:tc>
                <w:tcPr>
                  <w:tcW w:w="524"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贮存场所名称</w:t>
                  </w:r>
                </w:p>
              </w:tc>
              <w:tc>
                <w:tcPr>
                  <w:tcW w:w="646"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危险废物名称</w:t>
                  </w:r>
                </w:p>
              </w:tc>
              <w:tc>
                <w:tcPr>
                  <w:tcW w:w="530"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危险废物类别</w:t>
                  </w:r>
                </w:p>
              </w:tc>
              <w:tc>
                <w:tcPr>
                  <w:tcW w:w="662"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危险废物代码</w:t>
                  </w:r>
                </w:p>
              </w:tc>
              <w:tc>
                <w:tcPr>
                  <w:tcW w:w="416"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危险</w:t>
                  </w:r>
                </w:p>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特性</w:t>
                  </w:r>
                </w:p>
              </w:tc>
              <w:tc>
                <w:tcPr>
                  <w:tcW w:w="360"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位置</w:t>
                  </w:r>
                </w:p>
              </w:tc>
              <w:tc>
                <w:tcPr>
                  <w:tcW w:w="387"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占地面积</w:t>
                  </w:r>
                </w:p>
              </w:tc>
              <w:tc>
                <w:tcPr>
                  <w:tcW w:w="690"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贮存方式</w:t>
                  </w:r>
                </w:p>
              </w:tc>
              <w:tc>
                <w:tcPr>
                  <w:tcW w:w="385"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w:t>
                  </w:r>
                </w:p>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能力</w:t>
                  </w:r>
                </w:p>
              </w:tc>
              <w:tc>
                <w:tcPr>
                  <w:tcW w:w="396"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w:t>
                  </w:r>
                </w:p>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488" w:hRule="atLeast"/>
                <w:jc w:val="center"/>
              </w:trPr>
              <w:tc>
                <w:tcPr>
                  <w:tcW w:w="524"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危废暂存间</w:t>
                  </w:r>
                </w:p>
              </w:tc>
              <w:tc>
                <w:tcPr>
                  <w:tcW w:w="646" w:type="pct"/>
                  <w:noWrap w:val="0"/>
                  <w:tcMar>
                    <w:top w:w="0" w:type="dxa"/>
                    <w:left w:w="51" w:type="dxa"/>
                    <w:bottom w:w="0" w:type="dxa"/>
                    <w:right w:w="51" w:type="dxa"/>
                  </w:tcMar>
                  <w:vAlign w:val="center"/>
                </w:tcPr>
                <w:p>
                  <w:pPr>
                    <w:keepNext w:val="0"/>
                    <w:keepLines w:val="0"/>
                    <w:pageBreakBefore w:val="0"/>
                    <w:widowControl w:val="0"/>
                    <w:tabs>
                      <w:tab w:val="left" w:pos="7470"/>
                    </w:tabs>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废机油</w:t>
                  </w:r>
                </w:p>
              </w:tc>
              <w:tc>
                <w:tcPr>
                  <w:tcW w:w="530" w:type="pct"/>
                  <w:noWrap w:val="0"/>
                  <w:tcMar>
                    <w:top w:w="0" w:type="dxa"/>
                    <w:left w:w="51" w:type="dxa"/>
                    <w:bottom w:w="0" w:type="dxa"/>
                    <w:right w:w="51" w:type="dxa"/>
                  </w:tcMar>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HW08</w:t>
                  </w:r>
                </w:p>
              </w:tc>
              <w:tc>
                <w:tcPr>
                  <w:tcW w:w="662" w:type="pct"/>
                  <w:noWrap w:val="0"/>
                  <w:tcMar>
                    <w:top w:w="0" w:type="dxa"/>
                    <w:left w:w="51" w:type="dxa"/>
                    <w:bottom w:w="0" w:type="dxa"/>
                    <w:right w:w="51" w:type="dxa"/>
                  </w:tcMar>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900-249-08</w:t>
                  </w:r>
                </w:p>
              </w:tc>
              <w:tc>
                <w:tcPr>
                  <w:tcW w:w="416"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w:t>
                  </w:r>
                </w:p>
              </w:tc>
              <w:tc>
                <w:tcPr>
                  <w:tcW w:w="360"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办公区东侧</w:t>
                  </w:r>
                </w:p>
              </w:tc>
              <w:tc>
                <w:tcPr>
                  <w:tcW w:w="387"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p>
              </w:tc>
              <w:tc>
                <w:tcPr>
                  <w:tcW w:w="690"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置于密封带盖容器内</w:t>
                  </w:r>
                </w:p>
              </w:tc>
              <w:tc>
                <w:tcPr>
                  <w:tcW w:w="385"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1t</w:t>
                  </w:r>
                </w:p>
              </w:tc>
              <w:tc>
                <w:tcPr>
                  <w:tcW w:w="396"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591" w:hRule="atLeast"/>
                <w:jc w:val="center"/>
              </w:trPr>
              <w:tc>
                <w:tcPr>
                  <w:tcW w:w="524"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646" w:type="pct"/>
                  <w:noWrap w:val="0"/>
                  <w:tcMar>
                    <w:top w:w="0" w:type="dxa"/>
                    <w:left w:w="51" w:type="dxa"/>
                    <w:bottom w:w="0" w:type="dxa"/>
                    <w:right w:w="51" w:type="dxa"/>
                  </w:tcMar>
                  <w:vAlign w:val="center"/>
                </w:tcPr>
                <w:p>
                  <w:pPr>
                    <w:keepNext w:val="0"/>
                    <w:keepLines w:val="0"/>
                    <w:pageBreakBefore w:val="0"/>
                    <w:widowControl w:val="0"/>
                    <w:tabs>
                      <w:tab w:val="left" w:pos="7470"/>
                    </w:tabs>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废包装桶</w:t>
                  </w:r>
                </w:p>
              </w:tc>
              <w:tc>
                <w:tcPr>
                  <w:tcW w:w="530" w:type="pct"/>
                  <w:noWrap w:val="0"/>
                  <w:tcMar>
                    <w:top w:w="0" w:type="dxa"/>
                    <w:left w:w="51" w:type="dxa"/>
                    <w:bottom w:w="0" w:type="dxa"/>
                    <w:right w:w="51" w:type="dxa"/>
                  </w:tcMar>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w:t>
                  </w:r>
                </w:p>
              </w:tc>
              <w:tc>
                <w:tcPr>
                  <w:tcW w:w="662" w:type="pct"/>
                  <w:noWrap w:val="0"/>
                  <w:tcMar>
                    <w:top w:w="0" w:type="dxa"/>
                    <w:left w:w="51" w:type="dxa"/>
                    <w:bottom w:w="0" w:type="dxa"/>
                    <w:right w:w="51" w:type="dxa"/>
                  </w:tcMar>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900-41-49</w:t>
                  </w:r>
                </w:p>
              </w:tc>
              <w:tc>
                <w:tcPr>
                  <w:tcW w:w="416"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T/In</w:t>
                  </w:r>
                </w:p>
              </w:tc>
              <w:tc>
                <w:tcPr>
                  <w:tcW w:w="360"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387"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690"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385"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396"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591" w:hRule="atLeast"/>
                <w:jc w:val="center"/>
              </w:trPr>
              <w:tc>
                <w:tcPr>
                  <w:tcW w:w="524"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646" w:type="pct"/>
                  <w:noWrap w:val="0"/>
                  <w:tcMar>
                    <w:top w:w="0" w:type="dxa"/>
                    <w:left w:w="51" w:type="dxa"/>
                    <w:bottom w:w="0" w:type="dxa"/>
                    <w:right w:w="51" w:type="dxa"/>
                  </w:tcMar>
                  <w:vAlign w:val="center"/>
                </w:tcPr>
                <w:p>
                  <w:pPr>
                    <w:keepNext w:val="0"/>
                    <w:keepLines w:val="0"/>
                    <w:pageBreakBefore w:val="0"/>
                    <w:widowControl w:val="0"/>
                    <w:tabs>
                      <w:tab w:val="left" w:pos="7470"/>
                    </w:tabs>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废棉纱</w:t>
                  </w:r>
                </w:p>
              </w:tc>
              <w:tc>
                <w:tcPr>
                  <w:tcW w:w="530" w:type="pct"/>
                  <w:noWrap w:val="0"/>
                  <w:tcMar>
                    <w:top w:w="0" w:type="dxa"/>
                    <w:left w:w="51" w:type="dxa"/>
                    <w:bottom w:w="0" w:type="dxa"/>
                    <w:right w:w="51" w:type="dxa"/>
                  </w:tcMar>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HW49</w:t>
                  </w:r>
                </w:p>
              </w:tc>
              <w:tc>
                <w:tcPr>
                  <w:tcW w:w="662" w:type="pct"/>
                  <w:noWrap w:val="0"/>
                  <w:tcMar>
                    <w:top w:w="0" w:type="dxa"/>
                    <w:left w:w="51" w:type="dxa"/>
                    <w:bottom w:w="0" w:type="dxa"/>
                    <w:right w:w="51" w:type="dxa"/>
                  </w:tcMar>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900-41-49</w:t>
                  </w:r>
                </w:p>
              </w:tc>
              <w:tc>
                <w:tcPr>
                  <w:tcW w:w="416"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T/In</w:t>
                  </w:r>
                </w:p>
              </w:tc>
              <w:tc>
                <w:tcPr>
                  <w:tcW w:w="360"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387"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690"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385"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396"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2）危废暂存要求：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A、危险废物收集要求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①应当使用符合标准的容器盛装危险废物；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②装载危险废物的容器及材质要满足相应的强度要求；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③装载危险废物的容器必须完好无损；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④装载危险废物的容器材质和衬里要与危险废物相容（不相互反应）；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⑤液体危险废物可注入开孔直径不超过70mm并有放气孔的桶中；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⑥无法装入常用容器的危险废物可用防漏胶袋等盛装。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B、危险废物的暂存要求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①不相容的危险废物必须分开存放，并设隔离间隔断；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②危险废物要放入符合标准的容器内，加上标签；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③贮存设施应封闭，以防尘、防日晒；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④严格按照《危险废物贮存污染控制标准》（GB18597-2001）执行。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C、危险废物的管理要求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危险废物应及时转运，废物的转运过程中应装入严格密封，以防散落，转运车辆应</w:t>
            </w:r>
            <w:r>
              <w:rPr>
                <w:rFonts w:hint="eastAsia" w:cs="Times New Roman"/>
                <w:color w:val="auto"/>
                <w:sz w:val="24"/>
                <w:highlight w:val="none"/>
                <w:lang w:eastAsia="zh-CN"/>
              </w:rPr>
              <w:t>加盖篷布</w:t>
            </w:r>
            <w:r>
              <w:rPr>
                <w:rFonts w:hint="default" w:ascii="Times New Roman" w:hAnsi="Times New Roman" w:cs="Times New Roman"/>
                <w:color w:val="auto"/>
                <w:sz w:val="24"/>
                <w:highlight w:val="none"/>
              </w:rPr>
              <w:t>，以防散入路面。废物转移时应遵守《危险废物转移联单管理方法》，作好废物的记录登记交接工作。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D、危险废物暂存区的规范要求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①危险废物堆放场所要“四防”（防风、防雨、防晒、防渗漏）。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②基础必须防渗，防渗层为至少1m厚粘土层（渗透系数≤10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cm/s），或2mm厚高密度聚乙烯，或至少2mm厚的其它人工材料（渗透系数≤10</w:t>
            </w:r>
            <w:r>
              <w:rPr>
                <w:rFonts w:hint="default" w:ascii="Times New Roman" w:hAnsi="Times New Roman" w:cs="Times New Roman"/>
                <w:color w:val="auto"/>
                <w:sz w:val="24"/>
                <w:highlight w:val="none"/>
                <w:vertAlign w:val="superscript"/>
              </w:rPr>
              <w:t>-10</w:t>
            </w:r>
            <w:r>
              <w:rPr>
                <w:rFonts w:hint="default" w:ascii="Times New Roman" w:hAnsi="Times New Roman" w:cs="Times New Roman"/>
                <w:color w:val="auto"/>
                <w:sz w:val="24"/>
                <w:highlight w:val="none"/>
              </w:rPr>
              <w:t>cm/s）；地面与裙角要用坚固、防渗的材料建造，建筑材料必须与危险废物相容；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③必须有泄露液体收集装置；设施内要有安全照明设施和观察窗口；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④用以存放装载液体、半固态危险废物容器的地方，必有耐腐蚀的硬化地面，且表面无裂缝；</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⑤应设计堵截泄露的裙脚，地面与裙脚所围建的容积不低于堵截最大容器的最大储量或总量的1/5；</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⑥规定于显眼处警示标识、标牌。</w:t>
            </w:r>
          </w:p>
          <w:p>
            <w:pPr>
              <w:pStyle w:val="10"/>
              <w:keepNext w:val="0"/>
              <w:keepLines w:val="0"/>
              <w:pageBreakBefore w:val="0"/>
              <w:widowControl w:val="0"/>
              <w:kinsoku/>
              <w:wordWrap/>
              <w:overflowPunct/>
              <w:topLinePunct w:val="0"/>
              <w:autoSpaceDE/>
              <w:autoSpaceDN/>
              <w:bidi w:val="0"/>
              <w:adjustRightInd w:val="0"/>
              <w:snapToGrid w:val="0"/>
              <w:ind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382520" cy="1603375"/>
                  <wp:effectExtent l="0" t="0" r="17780" b="15875"/>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26"/>
                          <a:stretch>
                            <a:fillRect/>
                          </a:stretch>
                        </pic:blipFill>
                        <pic:spPr>
                          <a:xfrm>
                            <a:off x="0" y="0"/>
                            <a:ext cx="2382520" cy="1603375"/>
                          </a:xfrm>
                          <a:prstGeom prst="rect">
                            <a:avLst/>
                          </a:prstGeom>
                          <a:noFill/>
                          <a:ln>
                            <a:noFill/>
                          </a:ln>
                        </pic:spPr>
                      </pic:pic>
                    </a:graphicData>
                  </a:graphic>
                </wp:inline>
              </w:drawing>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drawing>
                <wp:inline distT="0" distB="0" distL="114300" distR="114300">
                  <wp:extent cx="2473960" cy="1630680"/>
                  <wp:effectExtent l="0" t="0" r="2540" b="7620"/>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27"/>
                          <a:stretch>
                            <a:fillRect/>
                          </a:stretch>
                        </pic:blipFill>
                        <pic:spPr>
                          <a:xfrm>
                            <a:off x="0" y="0"/>
                            <a:ext cx="2473960" cy="1630680"/>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baseline"/>
              <w:rPr>
                <w:rFonts w:hint="default" w:ascii="Times New Roman" w:hAnsi="Times New Roman" w:cs="Times New Roman"/>
                <w:color w:val="auto"/>
                <w:highlight w:val="none"/>
                <w:lang w:val="en-US"/>
              </w:rPr>
            </w:pPr>
            <w:r>
              <w:rPr>
                <w:rFonts w:hint="default" w:ascii="Times New Roman" w:hAnsi="Times New Roman" w:cs="Times New Roman"/>
                <w:b/>
                <w:bCs/>
                <w:color w:val="auto"/>
                <w:sz w:val="21"/>
                <w:szCs w:val="15"/>
                <w:highlight w:val="none"/>
                <w:lang w:val="en-US" w:eastAsia="zh-CN"/>
              </w:rPr>
              <w:t>危废暂存间标志牌                           危险废物警示牌</w:t>
            </w:r>
          </w:p>
          <w:p>
            <w:pPr>
              <w:pStyle w:val="2"/>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480" w:firstLineChars="200"/>
              <w:textAlignment w:val="auto"/>
              <w:rPr>
                <w:rFonts w:hint="eastAsia"/>
                <w:bCs w:val="0"/>
                <w:color w:val="auto"/>
                <w:sz w:val="24"/>
                <w:szCs w:val="22"/>
                <w:highlight w:val="none"/>
                <w:lang w:val="en-US" w:eastAsia="zh-CN"/>
              </w:rPr>
            </w:pPr>
            <w:r>
              <w:rPr>
                <w:rFonts w:hint="eastAsia"/>
                <w:bCs w:val="0"/>
                <w:color w:val="auto"/>
                <w:sz w:val="24"/>
                <w:szCs w:val="22"/>
                <w:highlight w:val="none"/>
                <w:lang w:val="en-US" w:eastAsia="zh-CN"/>
              </w:rPr>
              <w:t>3）危险废物运输管理要求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ottom"/>
              <w:rPr>
                <w:color w:val="auto"/>
                <w:sz w:val="24"/>
                <w:szCs w:val="20"/>
                <w:highlight w:val="none"/>
              </w:rPr>
            </w:pPr>
            <w:r>
              <w:rPr>
                <w:color w:val="auto"/>
                <w:sz w:val="24"/>
                <w:szCs w:val="20"/>
                <w:highlight w:val="none"/>
              </w:rPr>
              <w:t>项目危险废物的外运采用公路运输方式，应按照《道路危险货物运输管理规定》（交通部令[2005]第9号）执行，须由持有危险废物经营许可证的单位按照其许可证的经营范围组织实施，承担危险废物运输的单位须获得交通运输部门颁布的危险货物运输资质。危险废物外运过程中必须采取如下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ottom"/>
              <w:rPr>
                <w:color w:val="auto"/>
                <w:sz w:val="24"/>
                <w:szCs w:val="20"/>
                <w:highlight w:val="none"/>
              </w:rPr>
            </w:pPr>
            <w:r>
              <w:rPr>
                <w:rFonts w:hint="eastAsia"/>
                <w:color w:val="auto"/>
                <w:sz w:val="24"/>
                <w:szCs w:val="20"/>
                <w:highlight w:val="none"/>
                <w:lang w:eastAsia="zh-CN"/>
              </w:rPr>
              <w:t>①</w:t>
            </w:r>
            <w:r>
              <w:rPr>
                <w:color w:val="auto"/>
                <w:sz w:val="24"/>
                <w:szCs w:val="20"/>
                <w:highlight w:val="none"/>
              </w:rPr>
              <w:t>危险废物的转移和运输应按《危险废物转移联单管理办法》的规定报批危险废物转移计划，填写好转运联单，并必须交由有资质的单位承运。做好每次外运处置危险废物的运输登记，认真填写危险废物转移联单。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ottom"/>
              <w:rPr>
                <w:color w:val="auto"/>
                <w:sz w:val="24"/>
                <w:szCs w:val="20"/>
                <w:highlight w:val="none"/>
              </w:rPr>
            </w:pPr>
            <w:r>
              <w:rPr>
                <w:rFonts w:hint="eastAsia"/>
                <w:color w:val="auto"/>
                <w:sz w:val="24"/>
                <w:szCs w:val="20"/>
                <w:highlight w:val="none"/>
                <w:lang w:eastAsia="zh-CN"/>
              </w:rPr>
              <w:t>②</w:t>
            </w:r>
            <w:r>
              <w:rPr>
                <w:color w:val="auto"/>
                <w:sz w:val="24"/>
                <w:szCs w:val="20"/>
                <w:highlight w:val="none"/>
              </w:rPr>
              <w:t>危险废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ottom"/>
              <w:rPr>
                <w:color w:val="auto"/>
                <w:sz w:val="24"/>
                <w:szCs w:val="20"/>
                <w:highlight w:val="none"/>
              </w:rPr>
            </w:pPr>
            <w:r>
              <w:rPr>
                <w:rFonts w:hint="eastAsia"/>
                <w:color w:val="auto"/>
                <w:sz w:val="24"/>
                <w:szCs w:val="20"/>
                <w:highlight w:val="none"/>
                <w:lang w:eastAsia="zh-CN"/>
              </w:rPr>
              <w:t>③</w:t>
            </w:r>
            <w:r>
              <w:rPr>
                <w:color w:val="auto"/>
                <w:sz w:val="24"/>
                <w:szCs w:val="20"/>
                <w:highlight w:val="none"/>
              </w:rPr>
              <w:t>处置单位在运输危险废物时必须配备押运人员，并随时处于押运人员的监管之下，不得超装、超载，严格按照所在城市规定的行车时间和行车路线行驶，不得进入危险化学品运输车辆禁止通行的区域。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ottom"/>
              <w:rPr>
                <w:color w:val="auto"/>
                <w:sz w:val="24"/>
                <w:szCs w:val="20"/>
                <w:highlight w:val="none"/>
              </w:rPr>
            </w:pPr>
            <w:r>
              <w:rPr>
                <w:rFonts w:hint="eastAsia"/>
                <w:color w:val="auto"/>
                <w:sz w:val="24"/>
                <w:szCs w:val="20"/>
                <w:highlight w:val="none"/>
                <w:lang w:eastAsia="zh-CN"/>
              </w:rPr>
              <w:t>④</w:t>
            </w:r>
            <w:r>
              <w:rPr>
                <w:color w:val="auto"/>
                <w:sz w:val="24"/>
                <w:szCs w:val="20"/>
                <w:highlight w:val="none"/>
              </w:rPr>
              <w:t>危险废物在运输途中若发生被盗、丢失、流散、泄漏等情况时，建设单位及押运人员必须立即向当地公安部门报告，并采取一切可能的警示措施。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ottom"/>
              <w:rPr>
                <w:color w:val="auto"/>
                <w:sz w:val="24"/>
                <w:szCs w:val="20"/>
                <w:highlight w:val="none"/>
              </w:rPr>
            </w:pPr>
            <w:r>
              <w:rPr>
                <w:rFonts w:hint="eastAsia"/>
                <w:color w:val="auto"/>
                <w:sz w:val="24"/>
                <w:szCs w:val="20"/>
                <w:highlight w:val="none"/>
                <w:lang w:eastAsia="zh-CN"/>
              </w:rPr>
              <w:t>⑤</w:t>
            </w:r>
            <w:r>
              <w:rPr>
                <w:color w:val="auto"/>
                <w:sz w:val="24"/>
                <w:szCs w:val="20"/>
                <w:highlight w:val="none"/>
              </w:rPr>
              <w:t>一旦发生危险废物泄漏事故，建设单位和危废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相关标准。</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bCs w:val="0"/>
                <w:color w:val="auto"/>
                <w:sz w:val="24"/>
                <w:szCs w:val="22"/>
                <w:highlight w:val="none"/>
                <w:lang w:val="en-US" w:eastAsia="zh-CN"/>
              </w:rPr>
            </w:pPr>
            <w:r>
              <w:rPr>
                <w:rFonts w:hint="eastAsia"/>
                <w:bCs w:val="0"/>
                <w:color w:val="auto"/>
                <w:sz w:val="24"/>
                <w:szCs w:val="22"/>
                <w:highlight w:val="none"/>
                <w:lang w:val="en-US" w:eastAsia="zh-CN"/>
              </w:rPr>
              <w:t>（4）危废暂存间防渗措施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32"/>
                <w:highlight w:val="none"/>
                <w:lang w:eastAsia="zh-CN"/>
              </w:rPr>
            </w:pPr>
            <w:r>
              <w:rPr>
                <w:rFonts w:hint="eastAsia" w:cs="Times New Roman"/>
                <w:color w:val="auto"/>
                <w:sz w:val="24"/>
                <w:szCs w:val="32"/>
                <w:highlight w:val="none"/>
                <w:lang w:eastAsia="zh-CN"/>
              </w:rPr>
              <w:t>危废暂存间地面</w:t>
            </w:r>
            <w:r>
              <w:rPr>
                <w:bCs/>
                <w:color w:val="auto"/>
                <w:sz w:val="24"/>
                <w:szCs w:val="32"/>
                <w:highlight w:val="none"/>
              </w:rPr>
              <w:t>防渗层结构自下而上为：</w:t>
            </w:r>
            <w:r>
              <w:rPr>
                <w:rFonts w:hint="eastAsia" w:ascii="宋体" w:hAnsi="宋体" w:cs="宋体"/>
                <w:bCs/>
                <w:color w:val="auto"/>
                <w:sz w:val="24"/>
                <w:szCs w:val="32"/>
                <w:highlight w:val="none"/>
              </w:rPr>
              <w:t>①</w:t>
            </w:r>
            <w:r>
              <w:rPr>
                <w:bCs/>
                <w:color w:val="auto"/>
                <w:sz w:val="24"/>
                <w:szCs w:val="32"/>
                <w:highlight w:val="none"/>
              </w:rPr>
              <w:t>底部整平夯实；</w:t>
            </w:r>
            <w:r>
              <w:rPr>
                <w:rFonts w:hint="eastAsia" w:ascii="宋体" w:hAnsi="宋体" w:cs="宋体"/>
                <w:bCs/>
                <w:color w:val="auto"/>
                <w:sz w:val="24"/>
                <w:szCs w:val="32"/>
                <w:highlight w:val="none"/>
              </w:rPr>
              <w:t>②</w:t>
            </w:r>
            <w:r>
              <w:rPr>
                <w:bCs/>
                <w:color w:val="auto"/>
                <w:sz w:val="24"/>
                <w:szCs w:val="32"/>
                <w:highlight w:val="none"/>
              </w:rPr>
              <w:t>750mm厚压实黏土层，作为膜下保护层；</w:t>
            </w:r>
            <w:r>
              <w:rPr>
                <w:rFonts w:hint="eastAsia" w:ascii="宋体" w:hAnsi="宋体" w:cs="宋体"/>
                <w:bCs/>
                <w:color w:val="auto"/>
                <w:sz w:val="24"/>
                <w:szCs w:val="32"/>
                <w:highlight w:val="none"/>
              </w:rPr>
              <w:t>③</w:t>
            </w:r>
            <w:r>
              <w:rPr>
                <w:bCs/>
                <w:color w:val="auto"/>
                <w:sz w:val="24"/>
                <w:szCs w:val="32"/>
                <w:highlight w:val="none"/>
              </w:rPr>
              <w:t>铺设HDPE膜（1.5mm），作为主防渗层；</w:t>
            </w:r>
            <w:r>
              <w:rPr>
                <w:rFonts w:hint="eastAsia" w:ascii="宋体" w:hAnsi="宋体" w:cs="宋体"/>
                <w:bCs/>
                <w:color w:val="auto"/>
                <w:sz w:val="24"/>
                <w:szCs w:val="32"/>
                <w:highlight w:val="none"/>
              </w:rPr>
              <w:t>④</w:t>
            </w:r>
            <w:r>
              <w:rPr>
                <w:bCs/>
                <w:color w:val="auto"/>
                <w:sz w:val="24"/>
                <w:szCs w:val="32"/>
                <w:highlight w:val="none"/>
              </w:rPr>
              <w:t>铺设600g/m</w:t>
            </w:r>
            <w:r>
              <w:rPr>
                <w:bCs/>
                <w:color w:val="auto"/>
                <w:sz w:val="24"/>
                <w:szCs w:val="32"/>
                <w:highlight w:val="none"/>
                <w:vertAlign w:val="superscript"/>
              </w:rPr>
              <w:t>2</w:t>
            </w:r>
            <w:r>
              <w:rPr>
                <w:bCs/>
                <w:color w:val="auto"/>
                <w:sz w:val="24"/>
                <w:szCs w:val="32"/>
                <w:highlight w:val="none"/>
              </w:rPr>
              <w:t>无纺土工布，作为膜上保护层；</w:t>
            </w:r>
            <w:r>
              <w:rPr>
                <w:rFonts w:hint="eastAsia"/>
                <w:bCs/>
                <w:color w:val="auto"/>
                <w:sz w:val="24"/>
                <w:szCs w:val="32"/>
                <w:highlight w:val="none"/>
                <w:lang w:eastAsia="zh-CN"/>
              </w:rPr>
              <w:t>⑤最后，在上层</w:t>
            </w:r>
            <w:r>
              <w:rPr>
                <w:rFonts w:hint="default" w:ascii="Times New Roman" w:hAnsi="Times New Roman" w:cs="Times New Roman"/>
                <w:color w:val="auto"/>
                <w:sz w:val="24"/>
                <w:szCs w:val="32"/>
                <w:highlight w:val="none"/>
              </w:rPr>
              <w:t>铺10~15cm的防渗混凝土进行硬化</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通过上述措施使重点污染区防渗层渗透系数≤10</w:t>
            </w:r>
            <w:r>
              <w:rPr>
                <w:rFonts w:hint="default" w:ascii="Times New Roman" w:hAnsi="Times New Roman" w:cs="Times New Roman"/>
                <w:color w:val="auto"/>
                <w:sz w:val="24"/>
                <w:szCs w:val="32"/>
                <w:highlight w:val="none"/>
                <w:vertAlign w:val="superscript"/>
              </w:rPr>
              <w:t xml:space="preserve">-10 </w:t>
            </w:r>
            <w:r>
              <w:rPr>
                <w:rFonts w:hint="default" w:ascii="Times New Roman" w:hAnsi="Times New Roman" w:cs="Times New Roman"/>
                <w:color w:val="auto"/>
                <w:sz w:val="24"/>
                <w:szCs w:val="32"/>
                <w:highlight w:val="none"/>
              </w:rPr>
              <w:t>cm/s</w:t>
            </w:r>
            <w:r>
              <w:rPr>
                <w:rFonts w:hint="default" w:ascii="Times New Roman" w:hAnsi="Times New Roman" w:cs="Times New Roman"/>
                <w:color w:val="auto"/>
                <w:sz w:val="24"/>
                <w:szCs w:val="32"/>
                <w:highlight w:val="none"/>
                <w:lang w:eastAsia="zh-CN"/>
              </w:rPr>
              <w:t>。</w:t>
            </w:r>
            <w:r>
              <w:rPr>
                <w:rFonts w:hint="eastAsia" w:cs="Times New Roman"/>
                <w:color w:val="auto"/>
                <w:sz w:val="24"/>
                <w:szCs w:val="32"/>
                <w:highlight w:val="none"/>
                <w:lang w:eastAsia="zh-CN"/>
              </w:rPr>
              <w:t>防渗层结构示意图如下：</w:t>
            </w:r>
          </w:p>
          <w:p>
            <w:pPr>
              <w:pStyle w:val="2"/>
              <w:keepNext w:val="0"/>
              <w:keepLines w:val="0"/>
              <w:pageBreakBefore w:val="0"/>
              <w:widowControl w:val="0"/>
              <w:kinsoku/>
              <w:wordWrap/>
              <w:overflowPunct/>
              <w:topLinePunct w:val="0"/>
              <w:autoSpaceDE/>
              <w:autoSpaceDN/>
              <w:bidi w:val="0"/>
              <w:adjustRightInd w:val="0"/>
              <w:snapToGrid w:val="0"/>
              <w:spacing w:after="0"/>
              <w:ind w:left="0" w:leftChars="0"/>
              <w:jc w:val="center"/>
              <w:textAlignment w:val="auto"/>
              <w:rPr>
                <w:rFonts w:hint="eastAsia" w:eastAsia="宋体"/>
                <w:color w:val="auto"/>
                <w:highlight w:val="none"/>
                <w:lang w:eastAsia="zh-CN"/>
              </w:rPr>
            </w:pPr>
            <w:r>
              <w:rPr>
                <w:color w:val="auto"/>
                <w:sz w:val="21"/>
                <w:highlight w:val="none"/>
              </w:rPr>
              <mc:AlternateContent>
                <mc:Choice Requires="wps">
                  <w:drawing>
                    <wp:anchor distT="0" distB="0" distL="114300" distR="114300" simplePos="0" relativeHeight="251696128" behindDoc="0" locked="0" layoutInCell="1" allowOverlap="1">
                      <wp:simplePos x="0" y="0"/>
                      <wp:positionH relativeFrom="column">
                        <wp:posOffset>3655060</wp:posOffset>
                      </wp:positionH>
                      <wp:positionV relativeFrom="paragraph">
                        <wp:posOffset>229870</wp:posOffset>
                      </wp:positionV>
                      <wp:extent cx="768350" cy="209550"/>
                      <wp:effectExtent l="0" t="0" r="12700" b="0"/>
                      <wp:wrapNone/>
                      <wp:docPr id="204" name="文本框 204"/>
                      <wp:cNvGraphicFramePr/>
                      <a:graphic xmlns:a="http://schemas.openxmlformats.org/drawingml/2006/main">
                        <a:graphicData uri="http://schemas.microsoft.com/office/word/2010/wordprocessingShape">
                          <wps:wsp>
                            <wps:cNvSpPr txBox="1"/>
                            <wps:spPr>
                              <a:xfrm>
                                <a:off x="4527550" y="2611120"/>
                                <a:ext cx="76835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0"/>
                                      <w:szCs w:val="22"/>
                                      <w:lang w:eastAsia="zh-CN"/>
                                    </w:rPr>
                                  </w:pPr>
                                  <w:r>
                                    <w:rPr>
                                      <w:rFonts w:hint="eastAsia" w:ascii="仿宋" w:hAnsi="仿宋" w:eastAsia="仿宋" w:cs="仿宋"/>
                                      <w:sz w:val="20"/>
                                      <w:szCs w:val="22"/>
                                      <w:lang w:eastAsia="zh-CN"/>
                                    </w:rPr>
                                    <w:t>水泥硬化层</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87.8pt;margin-top:18.1pt;height:16.5pt;width:60.5pt;z-index:251696128;mso-width-relative:page;mso-height-relative:page;" fillcolor="#FFFFFF [3201]" filled="t" stroked="f" coordsize="21600,21600" o:gfxdata="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DdSXdUAAAAJAQAADwAAAAAA&#10;AAABACAAAAAiAAAAZHJzL2Rvd25yZXYueG1sUEsBAhQAFAAAAAgAh07iQPEqfudPAgAAjgQAAA4A&#10;AAAAAAAAAQAgAAAAJAEAAGRycy9lMm9Eb2MueG1sUEsFBgAAAAAGAAYAWQEAAOUFAAAAAA==&#10;">
                      <v:fill on="t" focussize="0,0"/>
                      <v:stroke on="f" weight="0.5pt"/>
                      <v:imagedata o:title=""/>
                      <o:lock v:ext="edit" aspectratio="f"/>
                      <v:textbox inset="0mm,0mm,0mm,0mm">
                        <w:txbxContent>
                          <w:p>
                            <w:pPr>
                              <w:rPr>
                                <w:rFonts w:hint="eastAsia" w:ascii="仿宋" w:hAnsi="仿宋" w:eastAsia="仿宋" w:cs="仿宋"/>
                                <w:sz w:val="20"/>
                                <w:szCs w:val="22"/>
                                <w:lang w:eastAsia="zh-CN"/>
                              </w:rPr>
                            </w:pPr>
                            <w:r>
                              <w:rPr>
                                <w:rFonts w:hint="eastAsia" w:ascii="仿宋" w:hAnsi="仿宋" w:eastAsia="仿宋" w:cs="仿宋"/>
                                <w:sz w:val="20"/>
                                <w:szCs w:val="22"/>
                                <w:lang w:eastAsia="zh-CN"/>
                              </w:rPr>
                              <w:t>水泥硬化层</w:t>
                            </w:r>
                          </w:p>
                        </w:txbxContent>
                      </v:textbox>
                    </v:shape>
                  </w:pict>
                </mc:Fallback>
              </mc:AlternateContent>
            </w:r>
            <w:r>
              <w:rPr>
                <w:color w:val="auto"/>
                <w:sz w:val="21"/>
                <w:highlight w:val="none"/>
              </w:rPr>
              <mc:AlternateContent>
                <mc:Choice Requires="wps">
                  <w:drawing>
                    <wp:anchor distT="0" distB="0" distL="114300" distR="114300" simplePos="0" relativeHeight="251695104" behindDoc="0" locked="0" layoutInCell="1" allowOverlap="1">
                      <wp:simplePos x="0" y="0"/>
                      <wp:positionH relativeFrom="column">
                        <wp:posOffset>3453765</wp:posOffset>
                      </wp:positionH>
                      <wp:positionV relativeFrom="paragraph">
                        <wp:posOffset>474345</wp:posOffset>
                      </wp:positionV>
                      <wp:extent cx="196850" cy="217170"/>
                      <wp:effectExtent l="3810" t="0" r="8890" b="11430"/>
                      <wp:wrapNone/>
                      <wp:docPr id="203" name="直接连接符 203"/>
                      <wp:cNvGraphicFramePr/>
                      <a:graphic xmlns:a="http://schemas.openxmlformats.org/drawingml/2006/main">
                        <a:graphicData uri="http://schemas.microsoft.com/office/word/2010/wordprocessingShape">
                          <wps:wsp>
                            <wps:cNvCnPr/>
                            <wps:spPr>
                              <a:xfrm flipV="1">
                                <a:off x="4353560" y="2856230"/>
                                <a:ext cx="196850" cy="21717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71.95pt;margin-top:37.35pt;height:17.1pt;width:15.5pt;z-index:251695104;mso-width-relative:page;mso-height-relative:page;" filled="f" stroked="t" coordsize="21600,21600" o:gfxdata="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fue8HbAAAACgEAAA8AAAAAAAAA&#10;AQAgAAAAIgAAAGRycy9kb3ducmV2LnhtbFBLAQIUABQAAAAIAIdO4kBFXpfoDgIAAOsDAAAOAAAA&#10;AAAAAAEAIAAAACoBAABkcnMvZTJvRG9jLnhtbFBLBQYAAAAABgAGAFkBAACqBQAAAAA=&#10;">
                      <v:fill on="f" focussize="0,0"/>
                      <v:stroke weight="0.5pt" color="#000000 [3213]" miterlimit="8" joinstyle="miter" endarrow="block"/>
                      <v:imagedata o:title=""/>
                      <o:lock v:ext="edit" aspectratio="f"/>
                    </v:line>
                  </w:pict>
                </mc:Fallback>
              </mc:AlternateContent>
            </w:r>
            <w:r>
              <w:rPr>
                <w:color w:val="auto"/>
                <w:highlight w:val="none"/>
              </w:rPr>
              <w:drawing>
                <wp:inline distT="0" distB="0" distL="114300" distR="114300">
                  <wp:extent cx="4409440" cy="1869440"/>
                  <wp:effectExtent l="0" t="0" r="10160" b="0"/>
                  <wp:docPr id="20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8"/>
                          <pic:cNvPicPr>
                            <a:picLocks noChangeAspect="1"/>
                          </pic:cNvPicPr>
                        </pic:nvPicPr>
                        <pic:blipFill>
                          <a:blip r:embed="rId28"/>
                          <a:srcRect l="44170" t="48589" r="22713" b="29971"/>
                          <a:stretch>
                            <a:fillRect/>
                          </a:stretch>
                        </pic:blipFill>
                        <pic:spPr>
                          <a:xfrm>
                            <a:off x="0" y="0"/>
                            <a:ext cx="4409440" cy="1869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after="144" w:afterLines="50" w:line="240" w:lineRule="auto"/>
              <w:jc w:val="center"/>
              <w:textAlignment w:val="auto"/>
              <w:rPr>
                <w:rFonts w:hint="default" w:cs="Times New Roman"/>
                <w:b/>
                <w:bCs/>
                <w:color w:val="auto"/>
                <w:highlight w:val="none"/>
                <w:lang w:val="en-US" w:eastAsia="zh-CN"/>
              </w:rPr>
            </w:pPr>
            <w:r>
              <w:rPr>
                <w:rFonts w:hint="eastAsia" w:cs="Times New Roman"/>
                <w:b/>
                <w:bCs/>
                <w:color w:val="auto"/>
                <w:highlight w:val="none"/>
                <w:lang w:eastAsia="zh-CN"/>
              </w:rPr>
              <w:t>图</w:t>
            </w:r>
            <w:r>
              <w:rPr>
                <w:rFonts w:hint="eastAsia" w:cs="Times New Roman"/>
                <w:b/>
                <w:bCs/>
                <w:color w:val="auto"/>
                <w:highlight w:val="none"/>
                <w:lang w:val="en-US" w:eastAsia="zh-CN"/>
              </w:rPr>
              <w:t>4-1  防渗层结构示意图</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4</w:t>
            </w:r>
            <w:r>
              <w:rPr>
                <w:rFonts w:hint="default" w:ascii="Times New Roman" w:hAnsi="Times New Roman" w:cs="Times New Roman"/>
                <w:b/>
                <w:bCs/>
                <w:color w:val="auto"/>
                <w:sz w:val="24"/>
                <w:highlight w:val="none"/>
              </w:rPr>
              <w:t>.3固体废物影响分析</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（1）一般固废影响分析</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项目一般固废主要为</w:t>
            </w:r>
            <w:r>
              <w:rPr>
                <w:rFonts w:hint="eastAsia" w:cs="Times New Roman"/>
                <w:bCs/>
                <w:color w:val="auto"/>
                <w:kern w:val="0"/>
                <w:sz w:val="24"/>
                <w:highlight w:val="none"/>
                <w:lang w:val="en-US" w:eastAsia="zh-CN"/>
              </w:rPr>
              <w:t>废包装材料</w:t>
            </w:r>
            <w:r>
              <w:rPr>
                <w:rFonts w:hint="default" w:ascii="Times New Roman" w:hAnsi="Times New Roman" w:cs="Times New Roman"/>
                <w:bCs/>
                <w:color w:val="auto"/>
                <w:kern w:val="0"/>
                <w:sz w:val="24"/>
                <w:highlight w:val="none"/>
                <w:lang w:eastAsia="zh-CN"/>
              </w:rPr>
              <w:t>、</w:t>
            </w:r>
            <w:r>
              <w:rPr>
                <w:rFonts w:hint="eastAsia" w:cs="Times New Roman"/>
                <w:bCs/>
                <w:color w:val="auto"/>
                <w:kern w:val="0"/>
                <w:sz w:val="24"/>
                <w:highlight w:val="none"/>
                <w:lang w:val="en-US" w:eastAsia="zh-CN"/>
              </w:rPr>
              <w:t>不合格品、</w:t>
            </w:r>
            <w:r>
              <w:rPr>
                <w:rFonts w:hint="default" w:ascii="Times New Roman" w:hAnsi="Times New Roman" w:cs="Times New Roman"/>
                <w:bCs/>
                <w:color w:val="auto"/>
                <w:kern w:val="0"/>
                <w:sz w:val="24"/>
                <w:highlight w:val="none"/>
                <w:lang w:eastAsia="zh-CN"/>
              </w:rPr>
              <w:t>除尘灰</w:t>
            </w:r>
            <w:r>
              <w:rPr>
                <w:rFonts w:hint="default" w:ascii="Times New Roman" w:hAnsi="Times New Roman" w:cs="Times New Roman"/>
                <w:bCs/>
                <w:color w:val="auto"/>
                <w:kern w:val="0"/>
                <w:sz w:val="24"/>
                <w:highlight w:val="none"/>
              </w:rPr>
              <w:t>和生活垃圾。其中</w:t>
            </w:r>
            <w:r>
              <w:rPr>
                <w:rFonts w:hint="eastAsia" w:cs="Times New Roman"/>
                <w:bCs/>
                <w:color w:val="auto"/>
                <w:kern w:val="0"/>
                <w:sz w:val="24"/>
                <w:highlight w:val="none"/>
                <w:lang w:val="en-US" w:eastAsia="zh-CN"/>
              </w:rPr>
              <w:t>废包装材料作为废品外售处置；不合格送建材厂综合利用；除尘灰返回生产工序；</w:t>
            </w:r>
            <w:r>
              <w:rPr>
                <w:rFonts w:hint="default" w:ascii="Times New Roman" w:hAnsi="Times New Roman" w:cs="Times New Roman"/>
                <w:bCs/>
                <w:color w:val="auto"/>
                <w:kern w:val="0"/>
                <w:sz w:val="24"/>
                <w:highlight w:val="none"/>
              </w:rPr>
              <w:t>生活垃圾设2个垃圾桶，经收集后交环卫部门集中处置。</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综上，项目一般固废均合理处置，对周围环境影响较小。</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（2）危险废物影响分析</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本项目危险废物主要为废机油，环评从以下方面进行影响分析：</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①危废贮存场所（设施）环境影响分析</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本项目在厂内设</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危险废物暂存间一座，储存能力为1t，</w:t>
            </w:r>
            <w:r>
              <w:rPr>
                <w:rFonts w:hint="default" w:ascii="Times New Roman" w:hAnsi="Times New Roman" w:cs="Times New Roman"/>
                <w:color w:val="auto"/>
                <w:sz w:val="24"/>
                <w:szCs w:val="24"/>
                <w:highlight w:val="none"/>
                <w:shd w:val="clear" w:color="auto" w:fill="FFFFFF"/>
                <w:lang w:val="en-US" w:eastAsia="zh-CN"/>
              </w:rPr>
              <w:t>储存周期为</w:t>
            </w:r>
            <w:r>
              <w:rPr>
                <w:rFonts w:hint="eastAsia" w:ascii="Times New Roman" w:hAnsi="Times New Roman" w:cs="Times New Roman"/>
                <w:color w:val="auto"/>
                <w:sz w:val="24"/>
                <w:szCs w:val="24"/>
                <w:highlight w:val="none"/>
                <w:shd w:val="clear" w:color="auto" w:fill="FFFFFF"/>
                <w:lang w:val="en-US" w:eastAsia="zh-CN"/>
              </w:rPr>
              <w:t>1</w:t>
            </w:r>
            <w:r>
              <w:rPr>
                <w:rFonts w:hint="default" w:ascii="Times New Roman" w:hAnsi="Times New Roman" w:cs="Times New Roman"/>
                <w:color w:val="auto"/>
                <w:sz w:val="24"/>
                <w:szCs w:val="24"/>
                <w:highlight w:val="none"/>
                <w:shd w:val="clear" w:color="auto" w:fill="FFFFFF"/>
                <w:lang w:val="en-US" w:eastAsia="zh-CN"/>
              </w:rPr>
              <w:t>年。可满足危险废物的储存要求。</w:t>
            </w:r>
            <w:r>
              <w:rPr>
                <w:rFonts w:hint="default" w:ascii="Times New Roman" w:hAnsi="Times New Roman" w:cs="Times New Roman"/>
                <w:color w:val="auto"/>
                <w:sz w:val="24"/>
                <w:szCs w:val="24"/>
                <w:highlight w:val="none"/>
                <w:shd w:val="clear" w:color="auto" w:fill="FFFFFF"/>
                <w:lang w:eastAsia="zh-CN"/>
              </w:rPr>
              <w:t>因此，在</w:t>
            </w:r>
            <w:r>
              <w:rPr>
                <w:rFonts w:hint="default" w:ascii="Times New Roman" w:hAnsi="Times New Roman" w:cs="Times New Roman"/>
                <w:color w:val="auto"/>
                <w:sz w:val="24"/>
                <w:szCs w:val="24"/>
                <w:highlight w:val="none"/>
                <w:lang w:val="eu-ES" w:eastAsia="zh-CN"/>
              </w:rPr>
              <w:t>严格落实危废储存、管理等措施后，对周围环境影响较小。</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②运输过程的环境影响分析</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危险废物运输委托专业的运输公司，危废运输过程中必须使用经过危险货物运输驾驶培训并合格，工作态度认真负责，技术熟练，熟悉道路情况的驾驶员，并且应做到严格遵守交通、消防、治安等相关法规。具备一定的对所运危险货物实施应急处理的知识和能力。配备合格的安全、消防等应急防护器材。降低对沿途居民造成人身伤害及二次污染环境责任。</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③利用或处置危险固废的环境影响分析</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根据企业提供资料，企业产生的危废不自行综合利用或者自建危废处理设施，全部委托有资质单位进行处理，因此，对周边环境影响很小。</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所述，建设单位在强化固体废物产生、收集、贮放各环节的管理，各种固废按照类别分类存放，杜绝固废在厂区内散失、渗漏，达到无害化，避免产生二次污染的情况下，采取以上措施后，不会造成二次污染，从环保角度考虑，固体废物防治措施可行，对周边环境影响较小。</w:t>
            </w:r>
          </w:p>
          <w:p>
            <w:pPr>
              <w:keepNext w:val="0"/>
              <w:keepLines w:val="0"/>
              <w:pageBreakBefore w:val="0"/>
              <w:widowControl w:val="0"/>
              <w:tabs>
                <w:tab w:val="left" w:pos="1525"/>
              </w:tabs>
              <w:kinsoku/>
              <w:wordWrap/>
              <w:overflowPunct/>
              <w:topLinePunct w:val="0"/>
              <w:autoSpaceDE w:val="0"/>
              <w:autoSpaceDN w:val="0"/>
              <w:bidi w:val="0"/>
              <w:adjustRightInd w:val="0"/>
              <w:snapToGrid w:val="0"/>
              <w:spacing w:line="360" w:lineRule="auto"/>
              <w:ind w:firstLine="0" w:firstLineChars="0"/>
              <w:textAlignment w:val="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5</w:t>
            </w:r>
            <w:r>
              <w:rPr>
                <w:rFonts w:hint="default" w:ascii="Times New Roman" w:hAnsi="Times New Roman" w:cs="Times New Roman"/>
                <w:b/>
                <w:color w:val="auto"/>
                <w:sz w:val="24"/>
                <w:highlight w:val="none"/>
                <w:lang w:val="en-US" w:eastAsia="zh-CN"/>
              </w:rPr>
              <w:t>、</w:t>
            </w:r>
            <w:r>
              <w:rPr>
                <w:rFonts w:hint="default" w:ascii="Times New Roman" w:hAnsi="Times New Roman" w:cs="Times New Roman"/>
                <w:b/>
                <w:color w:val="auto"/>
                <w:sz w:val="24"/>
                <w:highlight w:val="none"/>
              </w:rPr>
              <w:t>地下水</w:t>
            </w:r>
            <w:r>
              <w:rPr>
                <w:rFonts w:hint="eastAsia" w:cs="Times New Roman"/>
                <w:b/>
                <w:color w:val="auto"/>
                <w:sz w:val="24"/>
                <w:highlight w:val="none"/>
                <w:lang w:eastAsia="zh-CN"/>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color w:val="auto"/>
                <w:sz w:val="24"/>
                <w:highlight w:val="none"/>
              </w:rPr>
            </w:pPr>
            <w:r>
              <w:rPr>
                <w:rFonts w:hint="eastAsia" w:cs="Times New Roman"/>
                <w:color w:val="auto"/>
                <w:sz w:val="24"/>
                <w:highlight w:val="none"/>
                <w:lang w:val="en-US" w:eastAsia="zh-CN"/>
              </w:rPr>
              <w:t>根据工程分析可知，本项目对地下水污染源主要为废水收集池、危废暂存间等，其中废水收集池的污染物为SS，危废暂存间的污染物为石油烃，污染途径主要为垂直入渗。根据现场勘察，项目选址距离大营镇集中水源地6.4km，不会对水源地造成影响。同时，</w:t>
            </w:r>
            <w:r>
              <w:rPr>
                <w:rFonts w:hint="default" w:ascii="Times New Roman" w:hAnsi="Times New Roman" w:cs="Times New Roman"/>
                <w:color w:val="auto"/>
                <w:sz w:val="24"/>
                <w:highlight w:val="none"/>
              </w:rPr>
              <w:t>本项目</w:t>
            </w:r>
            <w:r>
              <w:rPr>
                <w:rFonts w:hint="eastAsia" w:cs="Times New Roman"/>
                <w:color w:val="auto"/>
                <w:sz w:val="24"/>
                <w:highlight w:val="none"/>
                <w:lang w:val="en-US" w:eastAsia="zh-CN"/>
              </w:rPr>
              <w:t>对厂区道路</w:t>
            </w:r>
            <w:r>
              <w:rPr>
                <w:rFonts w:hint="default" w:ascii="Times New Roman" w:hAnsi="Times New Roman" w:cs="Times New Roman"/>
                <w:color w:val="auto"/>
                <w:sz w:val="24"/>
                <w:highlight w:val="none"/>
              </w:rPr>
              <w:t>和车间地面全部采用水泥硬化；</w:t>
            </w:r>
            <w:r>
              <w:rPr>
                <w:rFonts w:hint="eastAsia" w:cs="Times New Roman"/>
                <w:color w:val="auto"/>
                <w:sz w:val="24"/>
                <w:highlight w:val="none"/>
                <w:lang w:val="en-US" w:eastAsia="zh-CN"/>
              </w:rPr>
              <w:t>废水收集池</w:t>
            </w:r>
            <w:r>
              <w:rPr>
                <w:rFonts w:hint="default" w:ascii="Times New Roman" w:hAnsi="Times New Roman" w:cs="Times New Roman"/>
                <w:color w:val="auto"/>
                <w:sz w:val="24"/>
                <w:highlight w:val="none"/>
              </w:rPr>
              <w:t>采用抗渗混凝土结构，防渗性能不低于1.0m厚渗透系数1.0×10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cm/s；危废暂存间</w:t>
            </w:r>
            <w:r>
              <w:rPr>
                <w:rFonts w:hint="eastAsia" w:cs="Times New Roman"/>
                <w:color w:val="auto"/>
                <w:sz w:val="24"/>
                <w:highlight w:val="none"/>
                <w:lang w:val="en-US" w:eastAsia="zh-CN"/>
              </w:rPr>
              <w:t>采取重点防渗，通过基础层+黏土层+HDPE膜+土工布+水泥防渗处理后，防渗层</w:t>
            </w:r>
            <w:r>
              <w:rPr>
                <w:rFonts w:hint="default" w:ascii="Times New Roman" w:hAnsi="Times New Roman" w:cs="Times New Roman"/>
                <w:color w:val="auto"/>
                <w:sz w:val="24"/>
                <w:highlight w:val="none"/>
              </w:rPr>
              <w:t>渗透系数≤10</w:t>
            </w:r>
            <w:r>
              <w:rPr>
                <w:rFonts w:hint="default" w:ascii="Times New Roman" w:hAnsi="Times New Roman" w:cs="Times New Roman"/>
                <w:color w:val="auto"/>
                <w:sz w:val="24"/>
                <w:highlight w:val="none"/>
                <w:vertAlign w:val="superscript"/>
              </w:rPr>
              <w:t>-10</w:t>
            </w:r>
            <w:r>
              <w:rPr>
                <w:rFonts w:hint="default" w:ascii="Times New Roman" w:hAnsi="Times New Roman" w:cs="Times New Roman"/>
                <w:color w:val="auto"/>
                <w:sz w:val="24"/>
                <w:highlight w:val="none"/>
              </w:rPr>
              <w:t>cm/s。在采取以上措施后，本项目不会对地下水产生影响。</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baseline"/>
              <w:rPr>
                <w:rFonts w:hint="default" w:ascii="Times New Roman" w:hAnsi="Times New Roman" w:cs="Times New Roman"/>
                <w:b/>
                <w:bCs/>
                <w:color w:val="auto"/>
                <w:spacing w:val="6"/>
                <w:sz w:val="24"/>
                <w:highlight w:val="none"/>
                <w:lang w:val="en-US" w:eastAsia="zh-CN"/>
              </w:rPr>
            </w:pPr>
            <w:r>
              <w:rPr>
                <w:rFonts w:hint="default" w:ascii="Times New Roman" w:hAnsi="Times New Roman" w:cs="Times New Roman"/>
                <w:b/>
                <w:bCs/>
                <w:color w:val="auto"/>
                <w:spacing w:val="6"/>
                <w:sz w:val="24"/>
                <w:highlight w:val="none"/>
                <w:lang w:val="en-US" w:eastAsia="zh-CN"/>
              </w:rPr>
              <w:t>6、土壤环境影响分析</w:t>
            </w:r>
          </w:p>
          <w:p>
            <w:pPr>
              <w:pStyle w:val="23"/>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cs="Times New Roman"/>
                <w:b/>
                <w:bCs/>
                <w:color w:val="auto"/>
                <w:szCs w:val="32"/>
                <w:highlight w:val="none"/>
              </w:rPr>
            </w:pPr>
            <w:r>
              <w:rPr>
                <w:rFonts w:hint="default" w:ascii="Times New Roman" w:hAnsi="Times New Roman" w:cs="Times New Roman"/>
                <w:b/>
                <w:bCs/>
                <w:color w:val="auto"/>
                <w:szCs w:val="32"/>
                <w:highlight w:val="none"/>
                <w:lang w:val="en-US" w:eastAsia="zh-CN"/>
              </w:rPr>
              <w:t>6</w:t>
            </w:r>
            <w:r>
              <w:rPr>
                <w:rFonts w:hint="default" w:ascii="Times New Roman" w:hAnsi="Times New Roman" w:cs="Times New Roman"/>
                <w:b/>
                <w:bCs/>
                <w:color w:val="auto"/>
                <w:szCs w:val="32"/>
                <w:highlight w:val="none"/>
              </w:rPr>
              <w:t>.</w:t>
            </w:r>
            <w:r>
              <w:rPr>
                <w:rFonts w:hint="eastAsia" w:ascii="Times New Roman" w:cs="Times New Roman"/>
                <w:b/>
                <w:bCs/>
                <w:color w:val="auto"/>
                <w:szCs w:val="32"/>
                <w:highlight w:val="none"/>
                <w:lang w:val="en-US" w:eastAsia="zh-CN"/>
              </w:rPr>
              <w:t>1</w:t>
            </w:r>
            <w:r>
              <w:rPr>
                <w:rFonts w:hint="default" w:ascii="Times New Roman" w:hAnsi="Times New Roman" w:cs="Times New Roman"/>
                <w:b/>
                <w:bCs/>
                <w:color w:val="auto"/>
                <w:szCs w:val="32"/>
                <w:highlight w:val="none"/>
              </w:rPr>
              <w:t>土壤影响途径识别及影响分析</w:t>
            </w:r>
          </w:p>
          <w:p>
            <w:pPr>
              <w:pStyle w:val="50"/>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根据工程分析及排污特征可以看出，本项目对土壤环境的影响主要出现在生产运营期。</w:t>
            </w:r>
            <w:r>
              <w:rPr>
                <w:rFonts w:hint="eastAsia" w:ascii="Times New Roman" w:hAnsi="Times New Roman" w:cs="Times New Roman"/>
                <w:color w:val="auto"/>
                <w:sz w:val="24"/>
                <w:szCs w:val="24"/>
                <w:highlight w:val="none"/>
                <w:lang w:eastAsia="zh-CN"/>
              </w:rPr>
              <w:t>影响途径主要为大气沉降、垂直入渗等。</w:t>
            </w:r>
            <w:r>
              <w:rPr>
                <w:rFonts w:hint="default" w:ascii="Times New Roman" w:hAnsi="Times New Roman" w:cs="Times New Roman"/>
                <w:color w:val="auto"/>
                <w:sz w:val="24"/>
                <w:szCs w:val="24"/>
                <w:highlight w:val="none"/>
              </w:rPr>
              <w:t>本项目土壤环境影响源、影响因子及影响途径详见表</w:t>
            </w:r>
            <w:r>
              <w:rPr>
                <w:rFonts w:hint="eastAsia" w:ascii="Times New Roman" w:hAnsi="Times New Roman" w:cs="Times New Roman"/>
                <w:color w:val="auto"/>
                <w:sz w:val="24"/>
                <w:szCs w:val="24"/>
                <w:highlight w:val="none"/>
                <w:lang w:val="en-US" w:eastAsia="zh-CN"/>
              </w:rPr>
              <w:t>4-11</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16"/>
                <w:highlight w:val="none"/>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16"/>
                <w:highlight w:val="none"/>
              </w:rPr>
            </w:pPr>
            <w:r>
              <w:rPr>
                <w:rFonts w:hint="default" w:ascii="Times New Roman" w:hAnsi="Times New Roman" w:cs="Times New Roman"/>
                <w:b/>
                <w:bCs/>
                <w:color w:val="auto"/>
                <w:sz w:val="21"/>
                <w:szCs w:val="16"/>
                <w:highlight w:val="none"/>
              </w:rPr>
              <w:t>表</w:t>
            </w:r>
            <w:r>
              <w:rPr>
                <w:rFonts w:hint="eastAsia" w:cs="Times New Roman"/>
                <w:b/>
                <w:bCs/>
                <w:color w:val="auto"/>
                <w:sz w:val="21"/>
                <w:szCs w:val="16"/>
                <w:highlight w:val="none"/>
                <w:lang w:val="en-US" w:eastAsia="zh-CN"/>
              </w:rPr>
              <w:t>4-11</w:t>
            </w:r>
            <w:r>
              <w:rPr>
                <w:rFonts w:hint="default" w:ascii="Times New Roman" w:hAnsi="Times New Roman" w:cs="Times New Roman"/>
                <w:b/>
                <w:bCs/>
                <w:color w:val="auto"/>
                <w:sz w:val="21"/>
                <w:szCs w:val="16"/>
                <w:highlight w:val="none"/>
              </w:rPr>
              <w:t xml:space="preserve"> 土壤环境影响源、影响因子及影响途径识别表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1"/>
              <w:gridCol w:w="1693"/>
              <w:gridCol w:w="1267"/>
              <w:gridCol w:w="1678"/>
              <w:gridCol w:w="1374"/>
              <w:gridCol w:w="148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4" w:hRule="atLeast"/>
                <w:jc w:val="center"/>
              </w:trPr>
              <w:tc>
                <w:tcPr>
                  <w:tcW w:w="675" w:type="pct"/>
                  <w:tcBorders>
                    <w:tl2br w:val="nil"/>
                    <w:tr2bl w:val="nil"/>
                  </w:tcBorders>
                  <w:noWrap w:val="0"/>
                  <w:vAlign w:val="center"/>
                </w:tcPr>
                <w:p>
                  <w:pPr>
                    <w:pStyle w:val="51"/>
                    <w:snapToGrid w:val="0"/>
                    <w:spacing w:befor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影响源</w:t>
                  </w:r>
                </w:p>
              </w:tc>
              <w:tc>
                <w:tcPr>
                  <w:tcW w:w="976" w:type="pct"/>
                  <w:tcBorders>
                    <w:tl2br w:val="nil"/>
                    <w:tr2bl w:val="nil"/>
                  </w:tcBorders>
                  <w:noWrap w:val="0"/>
                  <w:vAlign w:val="center"/>
                </w:tcPr>
                <w:p>
                  <w:pPr>
                    <w:pStyle w:val="51"/>
                    <w:snapToGrid w:val="0"/>
                    <w:spacing w:befor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工艺流程/节点</w:t>
                  </w:r>
                </w:p>
              </w:tc>
              <w:tc>
                <w:tcPr>
                  <w:tcW w:w="730" w:type="pct"/>
                  <w:tcBorders>
                    <w:tl2br w:val="nil"/>
                    <w:tr2bl w:val="nil"/>
                  </w:tcBorders>
                  <w:noWrap w:val="0"/>
                  <w:vAlign w:val="center"/>
                </w:tcPr>
                <w:p>
                  <w:pPr>
                    <w:pStyle w:val="51"/>
                    <w:snapToGrid w:val="0"/>
                    <w:spacing w:befor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影响途径</w:t>
                  </w:r>
                </w:p>
              </w:tc>
              <w:tc>
                <w:tcPr>
                  <w:tcW w:w="967" w:type="pct"/>
                  <w:tcBorders>
                    <w:tl2br w:val="nil"/>
                    <w:tr2bl w:val="nil"/>
                  </w:tcBorders>
                  <w:noWrap w:val="0"/>
                  <w:vAlign w:val="center"/>
                </w:tcPr>
                <w:p>
                  <w:pPr>
                    <w:pStyle w:val="51"/>
                    <w:snapToGrid w:val="0"/>
                    <w:spacing w:befor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主要污染物</w:t>
                  </w:r>
                </w:p>
              </w:tc>
              <w:tc>
                <w:tcPr>
                  <w:tcW w:w="792" w:type="pct"/>
                  <w:tcBorders>
                    <w:tl2br w:val="nil"/>
                    <w:tr2bl w:val="nil"/>
                  </w:tcBorders>
                  <w:noWrap w:val="0"/>
                  <w:vAlign w:val="center"/>
                </w:tcPr>
                <w:p>
                  <w:pPr>
                    <w:pStyle w:val="51"/>
                    <w:snapToGrid w:val="0"/>
                    <w:spacing w:befor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特征因子</w:t>
                  </w:r>
                </w:p>
              </w:tc>
              <w:tc>
                <w:tcPr>
                  <w:tcW w:w="857" w:type="pct"/>
                  <w:tcBorders>
                    <w:tl2br w:val="nil"/>
                    <w:tr2bl w:val="nil"/>
                  </w:tcBorders>
                  <w:noWrap w:val="0"/>
                  <w:vAlign w:val="center"/>
                </w:tcPr>
                <w:p>
                  <w:pPr>
                    <w:pStyle w:val="51"/>
                    <w:snapToGrid w:val="0"/>
                    <w:spacing w:befor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污染源特征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4" w:hRule="atLeast"/>
                <w:jc w:val="center"/>
              </w:trPr>
              <w:tc>
                <w:tcPr>
                  <w:tcW w:w="675" w:type="pct"/>
                  <w:tcBorders>
                    <w:tl2br w:val="nil"/>
                    <w:tr2bl w:val="nil"/>
                  </w:tcBorders>
                  <w:noWrap w:val="0"/>
                  <w:vAlign w:val="center"/>
                </w:tcPr>
                <w:p>
                  <w:pPr>
                    <w:pStyle w:val="51"/>
                    <w:snapToGrid w:val="0"/>
                    <w:spacing w:before="0"/>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生产工艺</w:t>
                  </w:r>
                </w:p>
              </w:tc>
              <w:tc>
                <w:tcPr>
                  <w:tcW w:w="976" w:type="pct"/>
                  <w:tcBorders>
                    <w:tl2br w:val="nil"/>
                    <w:tr2bl w:val="nil"/>
                  </w:tcBorders>
                  <w:noWrap w:val="0"/>
                  <w:vAlign w:val="center"/>
                </w:tcPr>
                <w:p>
                  <w:pPr>
                    <w:pStyle w:val="51"/>
                    <w:snapToGrid w:val="0"/>
                    <w:spacing w:before="0"/>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排气筒</w:t>
                  </w:r>
                </w:p>
              </w:tc>
              <w:tc>
                <w:tcPr>
                  <w:tcW w:w="730" w:type="pct"/>
                  <w:tcBorders>
                    <w:tl2br w:val="nil"/>
                    <w:tr2bl w:val="nil"/>
                  </w:tcBorders>
                  <w:noWrap w:val="0"/>
                  <w:vAlign w:val="center"/>
                </w:tcPr>
                <w:p>
                  <w:pPr>
                    <w:pStyle w:val="51"/>
                    <w:snapToGrid w:val="0"/>
                    <w:spacing w:before="0"/>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大气沉降</w:t>
                  </w:r>
                </w:p>
              </w:tc>
              <w:tc>
                <w:tcPr>
                  <w:tcW w:w="967" w:type="pct"/>
                  <w:tcBorders>
                    <w:tl2br w:val="nil"/>
                    <w:tr2bl w:val="nil"/>
                  </w:tcBorders>
                  <w:noWrap w:val="0"/>
                  <w:vAlign w:val="center"/>
                </w:tcPr>
                <w:p>
                  <w:pPr>
                    <w:pStyle w:val="51"/>
                    <w:snapToGrid w:val="0"/>
                    <w:spacing w:before="0"/>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颗粒物</w:t>
                  </w:r>
                </w:p>
              </w:tc>
              <w:tc>
                <w:tcPr>
                  <w:tcW w:w="792" w:type="pct"/>
                  <w:tcBorders>
                    <w:tl2br w:val="nil"/>
                    <w:tr2bl w:val="nil"/>
                  </w:tcBorders>
                  <w:noWrap w:val="0"/>
                  <w:vAlign w:val="center"/>
                </w:tcPr>
                <w:p>
                  <w:pPr>
                    <w:pStyle w:val="51"/>
                    <w:snapToGrid w:val="0"/>
                    <w:spacing w:before="0"/>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857" w:type="pct"/>
                  <w:tcBorders>
                    <w:tl2br w:val="nil"/>
                    <w:tr2bl w:val="nil"/>
                  </w:tcBorders>
                  <w:noWrap w:val="0"/>
                  <w:vAlign w:val="center"/>
                </w:tcPr>
                <w:p>
                  <w:pPr>
                    <w:pStyle w:val="51"/>
                    <w:snapToGrid w:val="0"/>
                    <w:spacing w:befor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连续点源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4" w:hRule="atLeast"/>
                <w:jc w:val="center"/>
              </w:trPr>
              <w:tc>
                <w:tcPr>
                  <w:tcW w:w="675" w:type="pct"/>
                  <w:tcBorders>
                    <w:tl2br w:val="nil"/>
                    <w:tr2bl w:val="nil"/>
                  </w:tcBorders>
                  <w:noWrap w:val="0"/>
                  <w:vAlign w:val="center"/>
                </w:tcPr>
                <w:p>
                  <w:pPr>
                    <w:pStyle w:val="51"/>
                    <w:snapToGrid w:val="0"/>
                    <w:spacing w:before="0"/>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c>
                <w:tcPr>
                  <w:tcW w:w="976" w:type="pct"/>
                  <w:tcBorders>
                    <w:tl2br w:val="nil"/>
                    <w:tr2bl w:val="nil"/>
                  </w:tcBorders>
                  <w:noWrap w:val="0"/>
                  <w:vAlign w:val="center"/>
                </w:tcPr>
                <w:p>
                  <w:pPr>
                    <w:pStyle w:val="51"/>
                    <w:snapToGrid w:val="0"/>
                    <w:spacing w:before="0"/>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危废暂存间</w:t>
                  </w:r>
                </w:p>
              </w:tc>
              <w:tc>
                <w:tcPr>
                  <w:tcW w:w="730" w:type="pct"/>
                  <w:tcBorders>
                    <w:tl2br w:val="nil"/>
                    <w:tr2bl w:val="nil"/>
                  </w:tcBorders>
                  <w:noWrap w:val="0"/>
                  <w:vAlign w:val="center"/>
                </w:tcPr>
                <w:p>
                  <w:pPr>
                    <w:pStyle w:val="51"/>
                    <w:snapToGrid w:val="0"/>
                    <w:spacing w:before="0"/>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color w:val="auto"/>
                      <w:szCs w:val="21"/>
                      <w:highlight w:val="none"/>
                      <w:lang w:eastAsia="zh-CN"/>
                    </w:rPr>
                    <w:t>垂直入渗</w:t>
                  </w:r>
                </w:p>
              </w:tc>
              <w:tc>
                <w:tcPr>
                  <w:tcW w:w="967" w:type="pct"/>
                  <w:tcBorders>
                    <w:tl2br w:val="nil"/>
                    <w:tr2bl w:val="nil"/>
                  </w:tcBorders>
                  <w:noWrap w:val="0"/>
                  <w:vAlign w:val="center"/>
                </w:tcPr>
                <w:p>
                  <w:pPr>
                    <w:pStyle w:val="51"/>
                    <w:snapToGrid w:val="0"/>
                    <w:spacing w:before="0"/>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szCs w:val="21"/>
                      <w:highlight w:val="none"/>
                      <w:lang w:val="en-US" w:eastAsia="zh-CN"/>
                    </w:rPr>
                    <w:t>废机油</w:t>
                  </w:r>
                </w:p>
              </w:tc>
              <w:tc>
                <w:tcPr>
                  <w:tcW w:w="792" w:type="pct"/>
                  <w:tcBorders>
                    <w:tl2br w:val="nil"/>
                    <w:tr2bl w:val="nil"/>
                  </w:tcBorders>
                  <w:noWrap w:val="0"/>
                  <w:vAlign w:val="center"/>
                </w:tcPr>
                <w:p>
                  <w:pPr>
                    <w:pStyle w:val="51"/>
                    <w:snapToGrid w:val="0"/>
                    <w:spacing w:before="0"/>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石油烃</w:t>
                  </w:r>
                </w:p>
              </w:tc>
              <w:tc>
                <w:tcPr>
                  <w:tcW w:w="857" w:type="pct"/>
                  <w:tcBorders>
                    <w:tl2br w:val="nil"/>
                    <w:tr2bl w:val="nil"/>
                  </w:tcBorders>
                  <w:noWrap w:val="0"/>
                  <w:vAlign w:val="center"/>
                </w:tcPr>
                <w:p>
                  <w:pPr>
                    <w:pStyle w:val="51"/>
                    <w:snapToGrid w:val="0"/>
                    <w:spacing w:before="0"/>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r>
          </w:tbl>
          <w:p>
            <w:pPr>
              <w:pStyle w:val="13"/>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6.2土壤影响分析</w:t>
            </w:r>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6.2.1大气沉降影响分析</w:t>
            </w:r>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根据项目工程特点，项目废气主要为粉尘，</w:t>
            </w:r>
            <w:r>
              <w:rPr>
                <w:rFonts w:hint="default" w:ascii="Times New Roman" w:hAnsi="Times New Roman" w:cs="Times New Roman"/>
                <w:color w:val="auto"/>
                <w:sz w:val="24"/>
                <w:szCs w:val="24"/>
                <w:highlight w:val="none"/>
              </w:rPr>
              <w:t>不涉及有毒有害物质的重金属，</w:t>
            </w:r>
            <w:r>
              <w:rPr>
                <w:rFonts w:hint="eastAsia" w:ascii="Times New Roman" w:hAnsi="Times New Roman" w:cs="Times New Roman"/>
                <w:color w:val="auto"/>
                <w:sz w:val="24"/>
                <w:szCs w:val="24"/>
                <w:highlight w:val="none"/>
                <w:lang w:eastAsia="zh-CN"/>
              </w:rPr>
              <w:t>且采取环保措施后，污染物排放量很小，类比同类项目，</w:t>
            </w:r>
            <w:r>
              <w:rPr>
                <w:rFonts w:hint="default" w:ascii="Times New Roman" w:hAnsi="Times New Roman" w:cs="Times New Roman"/>
                <w:color w:val="auto"/>
                <w:sz w:val="24"/>
                <w:szCs w:val="24"/>
                <w:highlight w:val="none"/>
              </w:rPr>
              <w:t>对土壤影响</w:t>
            </w:r>
            <w:r>
              <w:rPr>
                <w:rFonts w:hint="eastAsia" w:ascii="Times New Roman" w:hAnsi="Times New Roman" w:cs="Times New Roman"/>
                <w:color w:val="auto"/>
                <w:sz w:val="24"/>
                <w:szCs w:val="24"/>
                <w:highlight w:val="none"/>
                <w:lang w:eastAsia="zh-CN"/>
              </w:rPr>
              <w:t>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w:t>
            </w:r>
            <w:r>
              <w:rPr>
                <w:rFonts w:hint="eastAsia"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val="en-US" w:eastAsia="zh-CN"/>
              </w:rPr>
              <w:t>.2垂直入渗影响</w:t>
            </w:r>
            <w:r>
              <w:rPr>
                <w:rFonts w:hint="eastAsia" w:ascii="Times New Roman" w:hAnsi="Times New Roman" w:cs="Times New Roman"/>
                <w:b/>
                <w:bCs/>
                <w:color w:val="auto"/>
                <w:sz w:val="24"/>
                <w:szCs w:val="24"/>
                <w:highlight w:val="none"/>
                <w:lang w:val="en-US" w:eastAsia="zh-CN"/>
              </w:rPr>
              <w:t>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本项目垂直入渗污染源主要为危废暂存间，危废暂存间采用</w:t>
            </w:r>
            <w:r>
              <w:rPr>
                <w:rFonts w:hint="eastAsia" w:cs="Times New Roman"/>
                <w:color w:val="auto"/>
                <w:sz w:val="24"/>
                <w:highlight w:val="none"/>
                <w:lang w:val="en-US" w:eastAsia="zh-CN"/>
              </w:rPr>
              <w:t>基础层+黏土层+HDPE膜+土工布+水泥防渗处理后，防渗层</w:t>
            </w:r>
            <w:r>
              <w:rPr>
                <w:rFonts w:hint="default" w:ascii="Times New Roman" w:hAnsi="Times New Roman" w:cs="Times New Roman"/>
                <w:color w:val="auto"/>
                <w:sz w:val="24"/>
                <w:highlight w:val="none"/>
              </w:rPr>
              <w:t>渗透系数≤10</w:t>
            </w:r>
            <w:r>
              <w:rPr>
                <w:rFonts w:hint="default" w:ascii="Times New Roman" w:hAnsi="Times New Roman" w:cs="Times New Roman"/>
                <w:color w:val="auto"/>
                <w:sz w:val="24"/>
                <w:highlight w:val="none"/>
                <w:vertAlign w:val="superscript"/>
              </w:rPr>
              <w:t>-10</w:t>
            </w:r>
            <w:r>
              <w:rPr>
                <w:rFonts w:hint="default" w:ascii="Times New Roman" w:hAnsi="Times New Roman" w:cs="Times New Roman"/>
                <w:color w:val="auto"/>
                <w:sz w:val="24"/>
                <w:highlight w:val="none"/>
              </w:rPr>
              <w:t>cm/s</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szCs w:val="24"/>
                <w:highlight w:val="none"/>
                <w:lang w:eastAsia="zh-CN"/>
              </w:rPr>
              <w:t>垂直入渗能力较差，</w:t>
            </w:r>
            <w:r>
              <w:rPr>
                <w:rFonts w:hint="eastAsia" w:ascii="Times New Roman" w:hAnsi="Times New Roman" w:cs="Times New Roman"/>
                <w:color w:val="auto"/>
                <w:sz w:val="24"/>
                <w:szCs w:val="24"/>
                <w:highlight w:val="none"/>
                <w:lang w:val="en-US" w:eastAsia="zh-CN"/>
              </w:rPr>
              <w:t>类比同类项目，垂直入渗</w:t>
            </w:r>
            <w:r>
              <w:rPr>
                <w:rFonts w:hint="default" w:ascii="Times New Roman" w:hAnsi="Times New Roman" w:cs="Times New Roman"/>
                <w:color w:val="auto"/>
                <w:sz w:val="24"/>
                <w:szCs w:val="24"/>
                <w:highlight w:val="none"/>
              </w:rPr>
              <w:t>对土壤</w:t>
            </w:r>
            <w:r>
              <w:rPr>
                <w:rFonts w:hint="default" w:ascii="Times New Roman" w:hAnsi="Times New Roman" w:cs="Times New Roman"/>
                <w:color w:val="auto"/>
                <w:sz w:val="24"/>
                <w:szCs w:val="24"/>
                <w:highlight w:val="none"/>
                <w:lang w:eastAsia="zh-CN"/>
              </w:rPr>
              <w:t>环境</w:t>
            </w:r>
            <w:r>
              <w:rPr>
                <w:rFonts w:hint="default" w:ascii="Times New Roman" w:hAnsi="Times New Roman" w:cs="Times New Roman"/>
                <w:color w:val="auto"/>
                <w:sz w:val="24"/>
                <w:szCs w:val="24"/>
                <w:highlight w:val="none"/>
              </w:rPr>
              <w:t>影响较小。</w:t>
            </w:r>
          </w:p>
          <w:p>
            <w:pPr>
              <w:pageBreakBefore w:val="0"/>
              <w:kinsoku/>
              <w:wordWrap/>
              <w:overflowPunct/>
              <w:topLinePunct w:val="0"/>
              <w:autoSpaceDE/>
              <w:autoSpaceDN/>
              <w:bidi w:val="0"/>
              <w:adjustRightInd w:val="0"/>
              <w:snapToGrid w:val="0"/>
              <w:spacing w:before="0" w:after="0" w:line="360" w:lineRule="auto"/>
              <w:ind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bookmarkStart w:id="14" w:name="_Toc32570"/>
            <w:r>
              <w:rPr>
                <w:rFonts w:hint="default" w:ascii="Times New Roman" w:hAnsi="Times New Roman" w:eastAsia="宋体" w:cs="Times New Roman"/>
                <w:b/>
                <w:bCs/>
                <w:color w:val="auto"/>
                <w:sz w:val="24"/>
                <w:szCs w:val="24"/>
                <w:highlight w:val="none"/>
                <w:lang w:val="en-US" w:eastAsia="zh-CN"/>
              </w:rPr>
              <w:t>6.</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土壤污染的控制措施</w:t>
            </w:r>
            <w:bookmarkEnd w:id="1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从大气沉降、垂直入渗</w:t>
            </w:r>
            <w:r>
              <w:rPr>
                <w:rFonts w:hint="default" w:ascii="Times New Roman" w:hAnsi="Times New Roman" w:cs="Times New Roman"/>
                <w:color w:val="auto"/>
                <w:sz w:val="24"/>
                <w:szCs w:val="24"/>
                <w:highlight w:val="none"/>
                <w:lang w:eastAsia="zh-CN"/>
              </w:rPr>
              <w:t>两个</w:t>
            </w:r>
            <w:r>
              <w:rPr>
                <w:rFonts w:hint="default" w:ascii="Times New Roman" w:hAnsi="Times New Roman" w:cs="Times New Roman"/>
                <w:color w:val="auto"/>
                <w:sz w:val="24"/>
                <w:szCs w:val="24"/>
                <w:highlight w:val="none"/>
              </w:rPr>
              <w:t>途径分别进行控制。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大气沉降污染途径治理措施及效果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本项目针对各类废气污染物均采取了对应的治理措施，确保污染物达标排放，</w:t>
            </w:r>
            <w:r>
              <w:rPr>
                <w:rFonts w:hint="default" w:ascii="Times New Roman" w:hAnsi="Times New Roman" w:cs="Times New Roman"/>
                <w:color w:val="auto"/>
                <w:sz w:val="24"/>
                <w:szCs w:val="24"/>
                <w:highlight w:val="none"/>
                <w:lang w:val="en-US" w:eastAsia="zh-CN"/>
              </w:rPr>
              <w:t>严格落实废气治理措施的运行效果，减少废气污染物的排放。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垂直入渗污染途径治理措施及效果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项目</w:t>
            </w:r>
            <w:r>
              <w:rPr>
                <w:rFonts w:hint="eastAsia" w:cs="Times New Roman"/>
                <w:color w:val="auto"/>
                <w:sz w:val="24"/>
                <w:szCs w:val="24"/>
                <w:highlight w:val="none"/>
                <w:lang w:val="en-US" w:eastAsia="zh-CN"/>
              </w:rPr>
              <w:t>采用分区防渗措施，其中</w:t>
            </w:r>
            <w:r>
              <w:rPr>
                <w:rFonts w:hint="eastAsia" w:cs="Times New Roman"/>
                <w:color w:val="auto"/>
                <w:sz w:val="24"/>
                <w:highlight w:val="none"/>
                <w:lang w:val="en-US" w:eastAsia="zh-CN"/>
              </w:rPr>
              <w:t>厂区道路</w:t>
            </w:r>
            <w:r>
              <w:rPr>
                <w:rFonts w:hint="default" w:ascii="Times New Roman" w:hAnsi="Times New Roman" w:cs="Times New Roman"/>
                <w:color w:val="auto"/>
                <w:sz w:val="24"/>
                <w:highlight w:val="none"/>
              </w:rPr>
              <w:t>和车间地面全部采用水泥硬化；</w:t>
            </w:r>
            <w:r>
              <w:rPr>
                <w:rFonts w:hint="eastAsia" w:cs="Times New Roman"/>
                <w:color w:val="auto"/>
                <w:sz w:val="24"/>
                <w:highlight w:val="none"/>
                <w:lang w:val="en-US" w:eastAsia="zh-CN"/>
              </w:rPr>
              <w:t>废水收集池</w:t>
            </w:r>
            <w:r>
              <w:rPr>
                <w:rFonts w:hint="default" w:ascii="Times New Roman" w:hAnsi="Times New Roman" w:cs="Times New Roman"/>
                <w:color w:val="auto"/>
                <w:sz w:val="24"/>
                <w:highlight w:val="none"/>
              </w:rPr>
              <w:t>采用抗渗混凝土结构，防渗性能不低于1.0m厚渗透系数1.0×10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cm/s；危废暂存间</w:t>
            </w:r>
            <w:r>
              <w:rPr>
                <w:rFonts w:hint="eastAsia" w:cs="Times New Roman"/>
                <w:color w:val="auto"/>
                <w:sz w:val="24"/>
                <w:highlight w:val="none"/>
                <w:lang w:val="en-US" w:eastAsia="zh-CN"/>
              </w:rPr>
              <w:t>采取重点防渗，通过基础层+黏土层+HDPE膜+土工布+水泥防渗处理后，防渗层</w:t>
            </w:r>
            <w:r>
              <w:rPr>
                <w:rFonts w:hint="default" w:ascii="Times New Roman" w:hAnsi="Times New Roman" w:cs="Times New Roman"/>
                <w:color w:val="auto"/>
                <w:sz w:val="24"/>
                <w:highlight w:val="none"/>
              </w:rPr>
              <w:t>渗透系数≤10</w:t>
            </w:r>
            <w:r>
              <w:rPr>
                <w:rFonts w:hint="default" w:ascii="Times New Roman" w:hAnsi="Times New Roman" w:cs="Times New Roman"/>
                <w:color w:val="auto"/>
                <w:sz w:val="24"/>
                <w:highlight w:val="none"/>
                <w:vertAlign w:val="superscript"/>
              </w:rPr>
              <w:t>-10</w:t>
            </w:r>
            <w:r>
              <w:rPr>
                <w:rFonts w:hint="default" w:ascii="Times New Roman" w:hAnsi="Times New Roman" w:cs="Times New Roman"/>
                <w:color w:val="auto"/>
                <w:sz w:val="24"/>
                <w:highlight w:val="none"/>
              </w:rPr>
              <w:t>cm/s。</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6.4跟踪监测</w:t>
            </w:r>
          </w:p>
          <w:p>
            <w:pPr>
              <w:pStyle w:val="50"/>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jc w:val="both"/>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根据HJ964-2018《环境影响评价技术导则 土壤环境》要求，提出本项目土壤环境跟踪监测计划。具体内容见表</w:t>
            </w:r>
            <w:r>
              <w:rPr>
                <w:rFonts w:hint="eastAsia" w:ascii="Times New Roman" w:hAnsi="Times New Roman" w:cs="Times New Roman"/>
                <w:color w:val="auto"/>
                <w:sz w:val="24"/>
                <w:szCs w:val="32"/>
                <w:highlight w:val="none"/>
                <w:lang w:val="en-US" w:eastAsia="zh-CN"/>
              </w:rPr>
              <w:t>4-12</w:t>
            </w:r>
            <w:r>
              <w:rPr>
                <w:rFonts w:hint="default" w:ascii="Times New Roman" w:hAnsi="Times New Roman" w:cs="Times New Roman"/>
                <w:color w:val="auto"/>
                <w:sz w:val="24"/>
                <w:szCs w:val="32"/>
                <w:highlight w:val="none"/>
              </w:rPr>
              <w:t>。</w:t>
            </w:r>
          </w:p>
          <w:p>
            <w:pPr>
              <w:pStyle w:val="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2"/>
                <w:highlight w:val="none"/>
              </w:rPr>
            </w:pPr>
            <w:r>
              <w:rPr>
                <w:rFonts w:hint="default" w:ascii="Times New Roman" w:hAnsi="Times New Roman" w:cs="Times New Roman"/>
                <w:b/>
                <w:bCs w:val="0"/>
                <w:color w:val="auto"/>
                <w:sz w:val="21"/>
                <w:szCs w:val="22"/>
                <w:highlight w:val="none"/>
              </w:rPr>
              <w:t>表</w:t>
            </w:r>
            <w:r>
              <w:rPr>
                <w:rFonts w:hint="eastAsia" w:ascii="Times New Roman" w:hAnsi="Times New Roman" w:cs="Times New Roman"/>
                <w:b/>
                <w:bCs w:val="0"/>
                <w:color w:val="auto"/>
                <w:sz w:val="21"/>
                <w:szCs w:val="22"/>
                <w:highlight w:val="none"/>
                <w:lang w:val="en-US" w:eastAsia="zh-CN"/>
              </w:rPr>
              <w:t>4-12</w:t>
            </w:r>
            <w:r>
              <w:rPr>
                <w:rFonts w:hint="default" w:ascii="Times New Roman" w:hAnsi="Times New Roman" w:cs="Times New Roman"/>
                <w:b/>
                <w:bCs w:val="0"/>
                <w:color w:val="auto"/>
                <w:sz w:val="21"/>
                <w:szCs w:val="22"/>
                <w:highlight w:val="none"/>
              </w:rPr>
              <w:t xml:space="preserve">  土壤环境跟踪监测计划</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108" w:type="dxa"/>
                <w:bottom w:w="0" w:type="dxa"/>
                <w:right w:w="108" w:type="dxa"/>
              </w:tblCellMar>
            </w:tblPr>
            <w:tblGrid>
              <w:gridCol w:w="688"/>
              <w:gridCol w:w="1632"/>
              <w:gridCol w:w="1921"/>
              <w:gridCol w:w="1542"/>
              <w:gridCol w:w="1346"/>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jc w:val="center"/>
              </w:trPr>
              <w:tc>
                <w:tcPr>
                  <w:tcW w:w="397"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941"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布点原则</w:t>
                  </w:r>
                </w:p>
              </w:tc>
              <w:tc>
                <w:tcPr>
                  <w:tcW w:w="110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点位</w:t>
                  </w:r>
                  <w:r>
                    <w:rPr>
                      <w:rFonts w:hint="default" w:ascii="Times New Roman" w:hAnsi="Times New Roman" w:cs="Times New Roman"/>
                      <w:color w:val="auto"/>
                      <w:sz w:val="21"/>
                      <w:szCs w:val="21"/>
                      <w:highlight w:val="none"/>
                      <w:lang w:eastAsia="zh-CN"/>
                    </w:rPr>
                    <w:t>位置</w:t>
                  </w:r>
                </w:p>
              </w:tc>
              <w:tc>
                <w:tcPr>
                  <w:tcW w:w="889"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取样深度（m）</w:t>
                  </w:r>
                </w:p>
              </w:tc>
              <w:tc>
                <w:tcPr>
                  <w:tcW w:w="776"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监测项目</w:t>
                  </w:r>
                </w:p>
              </w:tc>
              <w:tc>
                <w:tcPr>
                  <w:tcW w:w="886"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jc w:val="center"/>
              </w:trPr>
              <w:tc>
                <w:tcPr>
                  <w:tcW w:w="397"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941"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接近污染源</w:t>
                  </w:r>
                </w:p>
              </w:tc>
              <w:tc>
                <w:tcPr>
                  <w:tcW w:w="110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危废暂存间附近</w:t>
                  </w:r>
                </w:p>
              </w:tc>
              <w:tc>
                <w:tcPr>
                  <w:tcW w:w="889"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m</w:t>
                  </w:r>
                </w:p>
              </w:tc>
              <w:tc>
                <w:tcPr>
                  <w:tcW w:w="776" w:type="pct"/>
                  <w:tcBorders>
                    <w:tl2br w:val="nil"/>
                    <w:tr2bl w:val="nil"/>
                  </w:tcBorders>
                  <w:noWrap w:val="0"/>
                  <w:vAlign w:val="center"/>
                </w:tcPr>
                <w:p>
                  <w:pPr>
                    <w:pStyle w:val="55"/>
                    <w:adjustRightInd w:val="0"/>
                    <w:spacing w:line="240" w:lineRule="auto"/>
                    <w:ind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1"/>
                      <w:szCs w:val="21"/>
                      <w:highlight w:val="none"/>
                      <w:lang w:eastAsia="zh-CN"/>
                    </w:rPr>
                    <w:t>石油烃</w:t>
                  </w:r>
                </w:p>
              </w:tc>
              <w:tc>
                <w:tcPr>
                  <w:tcW w:w="886"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p>
              </w:tc>
            </w:tr>
          </w:tbl>
          <w:p>
            <w:pPr>
              <w:pStyle w:val="23"/>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jc w:val="both"/>
              <w:textAlignment w:val="auto"/>
              <w:rPr>
                <w:rFonts w:hint="default" w:ascii="Times New Roman" w:hAnsi="Times New Roman" w:cs="Times New Roman"/>
                <w:b/>
                <w:bCs/>
                <w:color w:val="auto"/>
                <w:szCs w:val="32"/>
                <w:highlight w:val="none"/>
              </w:rPr>
            </w:pPr>
            <w:r>
              <w:rPr>
                <w:rFonts w:hint="default" w:ascii="Times New Roman" w:hAnsi="Times New Roman" w:cs="Times New Roman"/>
                <w:b/>
                <w:bCs/>
                <w:color w:val="auto"/>
                <w:szCs w:val="32"/>
                <w:highlight w:val="none"/>
                <w:lang w:val="en-US" w:eastAsia="zh-CN"/>
              </w:rPr>
              <w:t>6</w:t>
            </w:r>
            <w:r>
              <w:rPr>
                <w:rFonts w:hint="default" w:ascii="Times New Roman" w:hAnsi="Times New Roman" w:cs="Times New Roman"/>
                <w:b/>
                <w:bCs/>
                <w:color w:val="auto"/>
                <w:szCs w:val="32"/>
                <w:highlight w:val="none"/>
              </w:rPr>
              <w:t>.</w:t>
            </w:r>
            <w:r>
              <w:rPr>
                <w:rFonts w:hint="eastAsia" w:ascii="Times New Roman" w:cs="Times New Roman"/>
                <w:b/>
                <w:bCs/>
                <w:color w:val="auto"/>
                <w:szCs w:val="32"/>
                <w:highlight w:val="none"/>
                <w:lang w:val="en-US" w:eastAsia="zh-CN"/>
              </w:rPr>
              <w:t>5</w:t>
            </w:r>
            <w:r>
              <w:rPr>
                <w:rFonts w:hint="default" w:ascii="Times New Roman" w:hAnsi="Times New Roman" w:cs="Times New Roman"/>
                <w:b/>
                <w:bCs/>
                <w:color w:val="auto"/>
                <w:szCs w:val="32"/>
                <w:highlight w:val="none"/>
              </w:rPr>
              <w:t>小结</w:t>
            </w:r>
          </w:p>
          <w:p>
            <w:pPr>
              <w:pStyle w:val="5"/>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根据现状监测，</w:t>
            </w:r>
            <w:r>
              <w:rPr>
                <w:rFonts w:hint="default" w:ascii="Times New Roman" w:hAnsi="Times New Roman" w:cs="Times New Roman"/>
                <w:bCs/>
                <w:color w:val="auto"/>
                <w:sz w:val="24"/>
                <w:highlight w:val="none"/>
              </w:rPr>
              <w:t>项目区域土壤环境质量现状满足《土壤环境质量 建设用地土壤污染风险管控标准（试行）》（GB36600-2018）中第二类用地相关标准；通过采取先进环保措施工艺、加强厂区硬化</w:t>
            </w:r>
            <w:r>
              <w:rPr>
                <w:rFonts w:hint="eastAsia" w:cs="Times New Roman"/>
                <w:bCs/>
                <w:color w:val="auto"/>
                <w:sz w:val="24"/>
                <w:highlight w:val="none"/>
                <w:lang w:eastAsia="zh-CN"/>
              </w:rPr>
              <w:t>、</w:t>
            </w:r>
            <w:r>
              <w:rPr>
                <w:rFonts w:hint="eastAsia" w:cs="Times New Roman"/>
                <w:bCs/>
                <w:color w:val="auto"/>
                <w:sz w:val="24"/>
                <w:highlight w:val="none"/>
                <w:lang w:val="en-US" w:eastAsia="zh-CN"/>
              </w:rPr>
              <w:t>采取分区</w:t>
            </w:r>
            <w:r>
              <w:rPr>
                <w:rFonts w:hint="default" w:ascii="Times New Roman" w:hAnsi="Times New Roman" w:cs="Times New Roman"/>
                <w:bCs/>
                <w:color w:val="auto"/>
                <w:sz w:val="24"/>
                <w:highlight w:val="none"/>
              </w:rPr>
              <w:t>防渗等措施后，项目污染物对土壤环境影响较小。因此，</w:t>
            </w:r>
            <w:r>
              <w:rPr>
                <w:rFonts w:hint="default" w:ascii="Times New Roman" w:hAnsi="Times New Roman" w:cs="Times New Roman"/>
                <w:color w:val="auto"/>
                <w:sz w:val="24"/>
                <w:highlight w:val="none"/>
              </w:rPr>
              <w:t>从土壤环境影响角度出发，本项目建设是可接受的。</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baseline"/>
              <w:rPr>
                <w:rFonts w:hint="eastAsia" w:ascii="Times New Roman" w:hAnsi="Times New Roman" w:eastAsia="宋体" w:cs="Times New Roman"/>
                <w:b/>
                <w:bCs w:val="0"/>
                <w:color w:val="auto"/>
                <w:sz w:val="24"/>
                <w:highlight w:val="none"/>
                <w:lang w:eastAsia="zh-CN"/>
              </w:rPr>
            </w:pPr>
            <w:r>
              <w:rPr>
                <w:rFonts w:hint="eastAsia" w:ascii="Times New Roman" w:hAnsi="Times New Roman" w:cs="Times New Roman"/>
                <w:b/>
                <w:bCs w:val="0"/>
                <w:color w:val="auto"/>
                <w:sz w:val="24"/>
                <w:highlight w:val="none"/>
                <w:lang w:val="en-US" w:eastAsia="zh-CN"/>
              </w:rPr>
              <w:t>7、</w:t>
            </w:r>
            <w:r>
              <w:rPr>
                <w:rFonts w:hint="default" w:ascii="Times New Roman" w:hAnsi="Times New Roman" w:cs="Times New Roman"/>
                <w:b/>
                <w:bCs w:val="0"/>
                <w:color w:val="auto"/>
                <w:sz w:val="24"/>
                <w:highlight w:val="none"/>
              </w:rPr>
              <w:t>生态环境影响</w:t>
            </w:r>
            <w:r>
              <w:rPr>
                <w:rFonts w:hint="eastAsia" w:ascii="Times New Roman" w:hAnsi="Times New Roman" w:cs="Times New Roman"/>
                <w:b/>
                <w:bCs w:val="0"/>
                <w:color w:val="auto"/>
                <w:sz w:val="24"/>
                <w:highlight w:val="none"/>
                <w:lang w:eastAsia="zh-CN"/>
              </w:rPr>
              <w:t>及防治措施</w:t>
            </w:r>
          </w:p>
          <w:p>
            <w:pPr>
              <w:pStyle w:val="5"/>
              <w:keepNext w:val="0"/>
              <w:keepLines w:val="0"/>
              <w:pageBreakBefore w:val="0"/>
              <w:widowControl w:val="0"/>
              <w:kinsoku/>
              <w:wordWrap/>
              <w:overflowPunct/>
              <w:topLinePunct w:val="0"/>
              <w:autoSpaceDE/>
              <w:autoSpaceDN/>
              <w:bidi w:val="0"/>
              <w:adjustRightInd w:val="0"/>
              <w:snapToGrid w:val="0"/>
              <w:spacing w:after="0" w:line="360" w:lineRule="auto"/>
              <w:ind w:firstLine="496"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pacing w:val="4"/>
                <w:sz w:val="24"/>
                <w:highlight w:val="none"/>
              </w:rPr>
              <w:t>本项目</w:t>
            </w:r>
            <w:r>
              <w:rPr>
                <w:rFonts w:hint="eastAsia" w:ascii="Times New Roman" w:hAnsi="Times New Roman" w:cs="Times New Roman"/>
                <w:color w:val="auto"/>
                <w:spacing w:val="4"/>
                <w:sz w:val="24"/>
                <w:highlight w:val="none"/>
                <w:lang w:eastAsia="zh-CN"/>
              </w:rPr>
              <w:t>占地面积较小，周边不涉及生态保护目标，</w:t>
            </w:r>
            <w:r>
              <w:rPr>
                <w:rFonts w:hint="default" w:ascii="Times New Roman" w:hAnsi="Times New Roman" w:cs="Times New Roman"/>
                <w:color w:val="auto"/>
                <w:spacing w:val="4"/>
                <w:sz w:val="24"/>
                <w:highlight w:val="none"/>
              </w:rPr>
              <w:t>生产过程中</w:t>
            </w:r>
            <w:r>
              <w:rPr>
                <w:rFonts w:hint="default" w:ascii="Times New Roman" w:hAnsi="Times New Roman" w:cs="Times New Roman"/>
                <w:color w:val="auto"/>
                <w:sz w:val="24"/>
                <w:highlight w:val="none"/>
              </w:rPr>
              <w:t>排放的主要污染物少量的粉尘，通过采用报告中提出的环保措施后，污染可达标排放</w:t>
            </w:r>
            <w:r>
              <w:rPr>
                <w:rFonts w:hint="eastAsia" w:cs="Times New Roman"/>
                <w:color w:val="auto"/>
                <w:sz w:val="24"/>
                <w:highlight w:val="none"/>
                <w:lang w:eastAsia="zh-CN"/>
              </w:rPr>
              <w:t>。</w:t>
            </w:r>
            <w:r>
              <w:rPr>
                <w:rFonts w:hint="eastAsia" w:ascii="Times New Roman" w:hAnsi="Times New Roman" w:cs="Times New Roman"/>
                <w:color w:val="auto"/>
                <w:spacing w:val="4"/>
                <w:sz w:val="24"/>
                <w:highlight w:val="none"/>
                <w:lang w:eastAsia="zh-CN"/>
              </w:rPr>
              <w:t>因此</w:t>
            </w:r>
            <w:r>
              <w:rPr>
                <w:rFonts w:hint="default" w:ascii="Times New Roman" w:hAnsi="Times New Roman" w:cs="Times New Roman"/>
                <w:color w:val="auto"/>
                <w:spacing w:val="4"/>
                <w:sz w:val="24"/>
                <w:highlight w:val="none"/>
              </w:rPr>
              <w:t>，</w:t>
            </w:r>
            <w:r>
              <w:rPr>
                <w:rFonts w:hint="eastAsia" w:ascii="Times New Roman" w:hAnsi="Times New Roman" w:cs="Times New Roman"/>
                <w:color w:val="auto"/>
                <w:spacing w:val="4"/>
                <w:sz w:val="24"/>
                <w:highlight w:val="none"/>
                <w:lang w:eastAsia="zh-CN"/>
              </w:rPr>
              <w:t>在加强厂区硬化、绿化的基础上，项目建设</w:t>
            </w:r>
            <w:r>
              <w:rPr>
                <w:rFonts w:hint="default" w:ascii="Times New Roman" w:hAnsi="Times New Roman" w:cs="Times New Roman"/>
                <w:color w:val="auto"/>
                <w:spacing w:val="4"/>
                <w:sz w:val="24"/>
                <w:highlight w:val="none"/>
              </w:rPr>
              <w:t>对</w:t>
            </w:r>
            <w:r>
              <w:rPr>
                <w:rFonts w:hint="eastAsia" w:ascii="Times New Roman" w:hAnsi="Times New Roman" w:cs="Times New Roman"/>
                <w:color w:val="auto"/>
                <w:spacing w:val="4"/>
                <w:sz w:val="24"/>
                <w:highlight w:val="none"/>
                <w:lang w:eastAsia="zh-CN"/>
              </w:rPr>
              <w:t>区域</w:t>
            </w:r>
            <w:r>
              <w:rPr>
                <w:rFonts w:hint="default" w:ascii="Times New Roman" w:hAnsi="Times New Roman" w:cs="Times New Roman"/>
                <w:color w:val="auto"/>
                <w:spacing w:val="4"/>
                <w:sz w:val="24"/>
                <w:highlight w:val="none"/>
              </w:rPr>
              <w:t>生态环境的影响较小</w:t>
            </w:r>
            <w:r>
              <w:rPr>
                <w:rFonts w:hint="eastAsia" w:ascii="Times New Roman" w:hAnsi="Times New Roman" w:cs="Times New Roman"/>
                <w:color w:val="auto"/>
                <w:spacing w:val="4"/>
                <w:sz w:val="24"/>
                <w:highlight w:val="none"/>
                <w:lang w:eastAsia="zh-CN"/>
              </w:rPr>
              <w:t>。</w:t>
            </w:r>
          </w:p>
          <w:p>
            <w:pPr>
              <w:pStyle w:val="19"/>
              <w:keepNext w:val="0"/>
              <w:keepLines w:val="0"/>
              <w:pageBreakBefore w:val="0"/>
              <w:widowControl w:val="0"/>
              <w:kinsoku/>
              <w:wordWrap/>
              <w:overflowPunct/>
              <w:topLinePunct w:val="0"/>
              <w:autoSpaceDE/>
              <w:autoSpaceDN/>
              <w:bidi w:val="0"/>
              <w:adjustRightInd w:val="0"/>
              <w:snapToGrid w:val="0"/>
              <w:spacing w:beforeLines="0" w:afterLines="0" w:line="360" w:lineRule="auto"/>
              <w:jc w:val="both"/>
              <w:textAlignment w:val="auto"/>
              <w:rPr>
                <w:rFonts w:hint="default" w:ascii="Times New Roman" w:hAnsi="Times New Roman" w:eastAsia="宋体" w:cs="Times New Roman"/>
                <w:b/>
                <w:bCs/>
                <w:color w:val="auto"/>
                <w:sz w:val="24"/>
                <w:szCs w:val="32"/>
                <w:highlight w:val="none"/>
              </w:rPr>
            </w:pPr>
            <w:r>
              <w:rPr>
                <w:rFonts w:hint="eastAsia" w:ascii="Times New Roman" w:eastAsia="宋体" w:cs="Times New Roman"/>
                <w:b/>
                <w:bCs/>
                <w:color w:val="auto"/>
                <w:sz w:val="24"/>
                <w:szCs w:val="32"/>
                <w:highlight w:val="none"/>
                <w:lang w:val="en-US" w:eastAsia="zh-CN"/>
              </w:rPr>
              <w:t>8</w:t>
            </w:r>
            <w:r>
              <w:rPr>
                <w:rFonts w:hint="default" w:ascii="Times New Roman" w:hAnsi="Times New Roman" w:eastAsia="宋体" w:cs="Times New Roman"/>
                <w:b/>
                <w:bCs/>
                <w:color w:val="auto"/>
                <w:sz w:val="24"/>
                <w:szCs w:val="32"/>
                <w:highlight w:val="none"/>
              </w:rPr>
              <w:t>、风险影响分析</w:t>
            </w:r>
          </w:p>
          <w:p>
            <w:pPr>
              <w:pStyle w:val="23"/>
              <w:snapToGrid w:val="0"/>
              <w:spacing w:line="360" w:lineRule="auto"/>
              <w:ind w:firstLine="482" w:firstLineChars="200"/>
              <w:jc w:val="both"/>
              <w:rPr>
                <w:rFonts w:hint="default" w:ascii="Times New Roman" w:hAnsi="Times New Roman" w:cs="Times New Roman"/>
                <w:b/>
                <w:bCs/>
                <w:color w:val="auto"/>
                <w:highlight w:val="none"/>
              </w:rPr>
            </w:pPr>
            <w:r>
              <w:rPr>
                <w:rFonts w:hint="eastAsia" w:ascii="Times New Roman" w:cs="Times New Roman"/>
                <w:b/>
                <w:bCs/>
                <w:color w:val="auto"/>
                <w:highlight w:val="none"/>
                <w:lang w:val="en-US" w:eastAsia="zh-CN"/>
              </w:rPr>
              <w:t>8</w:t>
            </w:r>
            <w:r>
              <w:rPr>
                <w:rFonts w:hint="default" w:ascii="Times New Roman" w:hAnsi="Times New Roman" w:cs="Times New Roman"/>
                <w:b/>
                <w:bCs/>
                <w:color w:val="auto"/>
                <w:highlight w:val="none"/>
              </w:rPr>
              <w:t>.1评价依据</w:t>
            </w:r>
          </w:p>
          <w:p>
            <w:pPr>
              <w:pStyle w:val="2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（1）风险潜势判定</w:t>
            </w:r>
          </w:p>
          <w:p>
            <w:pPr>
              <w:pStyle w:val="2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根据《建设项目环境风险评价技术导则》（HJ/T169-2018），本项目不涉及有毒有害和易燃易爆物质的生产、使用和贮运等过程，不会对周边大气、水环境造成影响，因此，确定本项目环境风险潜势为Ⅰ。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bookmarkStart w:id="15" w:name="_Toc25393"/>
            <w:r>
              <w:rPr>
                <w:rFonts w:hint="default" w:ascii="Times New Roman" w:hAnsi="Times New Roman" w:cs="Times New Roman"/>
                <w:bCs/>
                <w:color w:val="auto"/>
                <w:sz w:val="24"/>
                <w:highlight w:val="none"/>
              </w:rPr>
              <w:t>（2）风险工作等级</w:t>
            </w:r>
            <w:bookmarkEnd w:id="15"/>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r>
              <w:rPr>
                <w:rFonts w:hint="default" w:ascii="Times New Roman" w:hAnsi="Times New Roman" w:cs="Times New Roman"/>
                <w:bCs/>
                <w:color w:val="auto"/>
                <w:sz w:val="24"/>
                <w:highlight w:val="none"/>
              </w:rPr>
              <w:t>《建设项目环境风险评价技术导则》，风险</w:t>
            </w:r>
            <w:r>
              <w:rPr>
                <w:rFonts w:hint="default" w:ascii="Times New Roman" w:hAnsi="Times New Roman" w:cs="Times New Roman"/>
                <w:color w:val="auto"/>
                <w:sz w:val="24"/>
                <w:highlight w:val="none"/>
              </w:rPr>
              <w:t>评价工作等级判定见下表：</w:t>
            </w:r>
          </w:p>
          <w:p>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表</w:t>
            </w:r>
            <w:r>
              <w:rPr>
                <w:rFonts w:hint="eastAsia" w:cs="Times New Roman"/>
                <w:b/>
                <w:bCs/>
                <w:color w:val="auto"/>
                <w:kern w:val="0"/>
                <w:szCs w:val="21"/>
                <w:highlight w:val="none"/>
                <w:lang w:val="en-US" w:eastAsia="zh-CN"/>
              </w:rPr>
              <w:t>4-13</w:t>
            </w:r>
            <w:r>
              <w:rPr>
                <w:rFonts w:hint="default" w:ascii="Times New Roman" w:hAnsi="Times New Roman" w:cs="Times New Roman"/>
                <w:b/>
                <w:bCs/>
                <w:color w:val="auto"/>
                <w:kern w:val="0"/>
                <w:szCs w:val="21"/>
                <w:highlight w:val="none"/>
              </w:rPr>
              <w:t xml:space="preserve">  评价工作等级划分</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9"/>
              <w:gridCol w:w="1723"/>
              <w:gridCol w:w="1366"/>
              <w:gridCol w:w="1725"/>
              <w:gridCol w:w="17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979"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环境风险潜势</w:t>
                  </w:r>
                </w:p>
              </w:tc>
              <w:tc>
                <w:tcPr>
                  <w:tcW w:w="172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Ⅳ、Ⅳ</w:t>
                  </w:r>
                  <w:r>
                    <w:rPr>
                      <w:rFonts w:hint="default" w:ascii="Times New Roman" w:hAnsi="Times New Roman" w:cs="Times New Roman"/>
                      <w:color w:val="auto"/>
                      <w:szCs w:val="21"/>
                      <w:highlight w:val="none"/>
                      <w:vertAlign w:val="superscript"/>
                    </w:rPr>
                    <w:t>+</w:t>
                  </w:r>
                </w:p>
              </w:tc>
              <w:tc>
                <w:tcPr>
                  <w:tcW w:w="1366"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w:t>
                  </w:r>
                </w:p>
              </w:tc>
              <w:tc>
                <w:tcPr>
                  <w:tcW w:w="1725"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Ⅱ</w:t>
                  </w:r>
                </w:p>
              </w:tc>
              <w:tc>
                <w:tcPr>
                  <w:tcW w:w="1724"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979"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评价工作等级</w:t>
                  </w:r>
                </w:p>
              </w:tc>
              <w:tc>
                <w:tcPr>
                  <w:tcW w:w="1723"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w:t>
                  </w:r>
                </w:p>
              </w:tc>
              <w:tc>
                <w:tcPr>
                  <w:tcW w:w="1366"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w:t>
                  </w:r>
                </w:p>
              </w:tc>
              <w:tc>
                <w:tcPr>
                  <w:tcW w:w="1725" w:type="dxa"/>
                  <w:tcBorders>
                    <w:tl2br w:val="nil"/>
                    <w:tr2bl w:val="nil"/>
                  </w:tcBorders>
                  <w:shd w:val="clear" w:color="auto" w:fill="FFFFFF"/>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w:t>
                  </w:r>
                </w:p>
              </w:tc>
              <w:tc>
                <w:tcPr>
                  <w:tcW w:w="1724" w:type="dxa"/>
                  <w:tcBorders>
                    <w:tl2br w:val="nil"/>
                    <w:tr2bl w:val="nil"/>
                  </w:tcBorders>
                  <w:shd w:val="clear" w:color="auto" w:fill="A4A4A4"/>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简单分析</w:t>
                  </w:r>
                </w:p>
              </w:tc>
            </w:tr>
          </w:tbl>
          <w:p>
            <w:pPr>
              <w:pStyle w:val="23"/>
              <w:snapToGrid w:val="0"/>
              <w:spacing w:before="120" w:beforeLines="50"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bCs/>
                <w:color w:val="auto"/>
                <w:highlight w:val="none"/>
              </w:rPr>
              <w:t>由上表可知，项目风险潜势为I类，</w:t>
            </w:r>
            <w:r>
              <w:rPr>
                <w:rFonts w:hint="default" w:ascii="Times New Roman" w:hAnsi="Times New Roman" w:cs="Times New Roman"/>
                <w:color w:val="auto"/>
                <w:highlight w:val="none"/>
              </w:rPr>
              <w:t>只对项目环境风险进行简单分析。</w:t>
            </w:r>
          </w:p>
          <w:p>
            <w:pPr>
              <w:pStyle w:val="23"/>
              <w:snapToGrid w:val="0"/>
              <w:spacing w:line="360" w:lineRule="auto"/>
              <w:ind w:firstLine="482" w:firstLineChars="200"/>
              <w:jc w:val="both"/>
              <w:rPr>
                <w:rFonts w:hint="default" w:ascii="Times New Roman" w:hAnsi="Times New Roman" w:cs="Times New Roman"/>
                <w:b/>
                <w:bCs/>
                <w:color w:val="auto"/>
                <w:highlight w:val="none"/>
              </w:rPr>
            </w:pPr>
            <w:r>
              <w:rPr>
                <w:rFonts w:hint="eastAsia" w:ascii="Times New Roman" w:cs="Times New Roman"/>
                <w:b/>
                <w:bCs/>
                <w:color w:val="auto"/>
                <w:highlight w:val="none"/>
                <w:lang w:val="en-US" w:eastAsia="zh-CN"/>
              </w:rPr>
              <w:t>8</w:t>
            </w:r>
            <w:r>
              <w:rPr>
                <w:rFonts w:hint="default" w:ascii="Times New Roman" w:hAnsi="Times New Roman" w:cs="Times New Roman"/>
                <w:b/>
                <w:bCs/>
                <w:color w:val="auto"/>
                <w:highlight w:val="none"/>
              </w:rPr>
              <w:t xml:space="preserve">.2环境敏感目标概况 </w:t>
            </w:r>
          </w:p>
          <w:p>
            <w:pPr>
              <w:pStyle w:val="23"/>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本项目周边未发现国家和省级重点保护及珍稀、濒危动植物，无重要的景观资源、自然保护区、风景名胜区、文物古迹等。环境保护目标主要是周围的村庄。</w:t>
            </w:r>
          </w:p>
          <w:p>
            <w:pPr>
              <w:pStyle w:val="23"/>
              <w:snapToGrid w:val="0"/>
              <w:spacing w:line="360" w:lineRule="auto"/>
              <w:ind w:firstLine="482" w:firstLineChars="200"/>
              <w:jc w:val="both"/>
              <w:rPr>
                <w:rFonts w:hint="default" w:ascii="Times New Roman" w:hAnsi="Times New Roman" w:cs="Times New Roman"/>
                <w:b/>
                <w:bCs/>
                <w:color w:val="auto"/>
                <w:highlight w:val="none"/>
              </w:rPr>
            </w:pPr>
            <w:r>
              <w:rPr>
                <w:rFonts w:hint="eastAsia" w:ascii="Times New Roman" w:cs="Times New Roman"/>
                <w:b/>
                <w:bCs/>
                <w:color w:val="auto"/>
                <w:highlight w:val="none"/>
                <w:lang w:val="en-US" w:eastAsia="zh-CN"/>
              </w:rPr>
              <w:t>8</w:t>
            </w:r>
            <w:r>
              <w:rPr>
                <w:rFonts w:hint="default" w:ascii="Times New Roman" w:hAnsi="Times New Roman" w:cs="Times New Roman"/>
                <w:b/>
                <w:bCs/>
                <w:color w:val="auto"/>
                <w:highlight w:val="none"/>
              </w:rPr>
              <w:t>.3环境风险识别</w:t>
            </w:r>
          </w:p>
          <w:p>
            <w:pPr>
              <w:pStyle w:val="23"/>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根据工程特点，项目环境风险识别情况如下：</w:t>
            </w:r>
          </w:p>
          <w:p>
            <w:pPr>
              <w:pStyle w:val="10"/>
              <w:adjustRightInd w:val="0"/>
              <w:snapToGrid w:val="0"/>
              <w:ind w:firstLine="0"/>
              <w:jc w:val="center"/>
              <w:textAlignment w:val="baseline"/>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4-14</w:t>
            </w:r>
            <w:r>
              <w:rPr>
                <w:rFonts w:hint="default" w:ascii="Times New Roman" w:hAnsi="Times New Roman" w:cs="Times New Roman"/>
                <w:b/>
                <w:bCs/>
                <w:color w:val="auto"/>
                <w:sz w:val="21"/>
                <w:szCs w:val="21"/>
                <w:highlight w:val="none"/>
                <w:lang w:val="en-US" w:eastAsia="zh-CN"/>
              </w:rPr>
              <w:t xml:space="preserve"> 项目环境风险识别一览表</w:t>
            </w:r>
          </w:p>
          <w:tbl>
            <w:tblPr>
              <w:tblStyle w:val="24"/>
              <w:tblW w:w="86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356"/>
              <w:gridCol w:w="2865"/>
              <w:gridCol w:w="3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7" w:hRule="atLeast"/>
                <w:jc w:val="center"/>
              </w:trPr>
              <w:tc>
                <w:tcPr>
                  <w:tcW w:w="736" w:type="dxa"/>
                  <w:tcBorders>
                    <w:tl2br w:val="nil"/>
                    <w:tr2bl w:val="nil"/>
                  </w:tcBorders>
                  <w:noWrap w:val="0"/>
                  <w:vAlign w:val="center"/>
                </w:tcPr>
                <w:p>
                  <w:pPr>
                    <w:pStyle w:val="52"/>
                    <w:spacing w:before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356" w:type="dxa"/>
                  <w:tcBorders>
                    <w:tl2br w:val="nil"/>
                    <w:tr2bl w:val="nil"/>
                  </w:tcBorders>
                  <w:noWrap w:val="0"/>
                  <w:vAlign w:val="center"/>
                </w:tcPr>
                <w:p>
                  <w:pPr>
                    <w:pStyle w:val="52"/>
                    <w:spacing w:before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物质</w:t>
                  </w:r>
                </w:p>
              </w:tc>
              <w:tc>
                <w:tcPr>
                  <w:tcW w:w="2865" w:type="dxa"/>
                  <w:tcBorders>
                    <w:tl2br w:val="nil"/>
                    <w:tr2bl w:val="nil"/>
                  </w:tcBorders>
                  <w:noWrap w:val="0"/>
                  <w:vAlign w:val="center"/>
                </w:tcPr>
                <w:p>
                  <w:pPr>
                    <w:pStyle w:val="52"/>
                    <w:spacing w:before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分布情况</w:t>
                  </w:r>
                </w:p>
              </w:tc>
              <w:tc>
                <w:tcPr>
                  <w:tcW w:w="3680" w:type="dxa"/>
                  <w:tcBorders>
                    <w:tl2br w:val="nil"/>
                    <w:tr2bl w:val="nil"/>
                  </w:tcBorders>
                  <w:noWrap w:val="0"/>
                  <w:vAlign w:val="center"/>
                </w:tcPr>
                <w:p>
                  <w:pPr>
                    <w:pStyle w:val="52"/>
                    <w:spacing w:before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可能影响途径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6" w:type="dxa"/>
                  <w:tcBorders>
                    <w:tl2br w:val="nil"/>
                    <w:tr2bl w:val="nil"/>
                  </w:tcBorders>
                  <w:noWrap w:val="0"/>
                  <w:vAlign w:val="center"/>
                </w:tcPr>
                <w:p>
                  <w:pPr>
                    <w:pStyle w:val="52"/>
                    <w:spacing w:beforeLines="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c>
                <w:tcPr>
                  <w:tcW w:w="1356" w:type="dxa"/>
                  <w:tcBorders>
                    <w:tl2br w:val="nil"/>
                    <w:tr2bl w:val="nil"/>
                  </w:tcBorders>
                  <w:noWrap w:val="0"/>
                  <w:vAlign w:val="center"/>
                </w:tcPr>
                <w:p>
                  <w:pPr>
                    <w:pStyle w:val="52"/>
                    <w:spacing w:before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废机油</w:t>
                  </w:r>
                </w:p>
              </w:tc>
              <w:tc>
                <w:tcPr>
                  <w:tcW w:w="2865" w:type="dxa"/>
                  <w:tcBorders>
                    <w:tl2br w:val="nil"/>
                    <w:tr2bl w:val="nil"/>
                  </w:tcBorders>
                  <w:noWrap w:val="0"/>
                  <w:vAlign w:val="center"/>
                </w:tcPr>
                <w:p>
                  <w:pPr>
                    <w:pStyle w:val="52"/>
                    <w:spacing w:before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危废暂存间</w:t>
                  </w:r>
                </w:p>
              </w:tc>
              <w:tc>
                <w:tcPr>
                  <w:tcW w:w="3680" w:type="dxa"/>
                  <w:tcBorders>
                    <w:tl2br w:val="nil"/>
                    <w:tr2bl w:val="nil"/>
                  </w:tcBorders>
                  <w:noWrap w:val="0"/>
                  <w:vAlign w:val="center"/>
                </w:tcPr>
                <w:p>
                  <w:pPr>
                    <w:pStyle w:val="52"/>
                    <w:spacing w:before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废机油</w:t>
                  </w:r>
                  <w:r>
                    <w:rPr>
                      <w:rFonts w:hint="eastAsia" w:ascii="Times New Roman" w:hAnsi="Times New Roman" w:cs="Times New Roman"/>
                      <w:color w:val="auto"/>
                      <w:sz w:val="21"/>
                      <w:szCs w:val="21"/>
                      <w:highlight w:val="none"/>
                      <w:lang w:eastAsia="zh-CN"/>
                    </w:rPr>
                    <w:t>泄露</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下渗</w:t>
                  </w:r>
                </w:p>
              </w:tc>
            </w:tr>
          </w:tbl>
          <w:p>
            <w:pPr>
              <w:pStyle w:val="23"/>
              <w:snapToGrid w:val="0"/>
              <w:spacing w:before="120" w:beforeLines="50" w:line="360" w:lineRule="auto"/>
              <w:ind w:firstLine="482" w:firstLineChars="200"/>
              <w:jc w:val="both"/>
              <w:rPr>
                <w:rFonts w:hint="default" w:ascii="Times New Roman" w:hAnsi="Times New Roman" w:cs="Times New Roman"/>
                <w:b/>
                <w:bCs/>
                <w:color w:val="auto"/>
                <w:highlight w:val="none"/>
              </w:rPr>
            </w:pPr>
            <w:r>
              <w:rPr>
                <w:rFonts w:hint="eastAsia" w:ascii="Times New Roman" w:cs="Times New Roman"/>
                <w:b/>
                <w:bCs/>
                <w:color w:val="auto"/>
                <w:highlight w:val="none"/>
                <w:lang w:val="en-US" w:eastAsia="zh-CN"/>
              </w:rPr>
              <w:t>8</w:t>
            </w:r>
            <w:r>
              <w:rPr>
                <w:rFonts w:hint="default" w:ascii="Times New Roman" w:hAnsi="Times New Roman" w:cs="Times New Roman"/>
                <w:b/>
                <w:bCs/>
                <w:color w:val="auto"/>
                <w:highlight w:val="none"/>
              </w:rPr>
              <w:t>.4环境风险分析</w:t>
            </w:r>
          </w:p>
          <w:p>
            <w:pPr>
              <w:pStyle w:val="2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（1）地表水环境风险分析</w:t>
            </w:r>
          </w:p>
          <w:p>
            <w:pPr>
              <w:pStyle w:val="53"/>
              <w:keepNext w:val="0"/>
              <w:keepLines w:val="0"/>
              <w:pageBreakBefore w:val="0"/>
              <w:widowControl w:val="0"/>
              <w:kinsoku/>
              <w:wordWrap/>
              <w:overflowPunct/>
              <w:topLinePunct w:val="0"/>
              <w:bidi w:val="0"/>
              <w:adjustRightInd w:val="0"/>
              <w:snapToGrid w:val="0"/>
              <w:ind w:firstLine="496"/>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本项目生产过程中出现事故的</w:t>
            </w:r>
            <w:r>
              <w:rPr>
                <w:rFonts w:hint="eastAsia" w:ascii="Times New Roman" w:eastAsia="宋体" w:cs="Times New Roman"/>
                <w:color w:val="auto"/>
                <w:kern w:val="0"/>
                <w:sz w:val="24"/>
                <w:szCs w:val="24"/>
                <w:highlight w:val="none"/>
                <w:lang w:val="en-US" w:eastAsia="zh-CN"/>
              </w:rPr>
              <w:t>废机油泄露。废机油采用机油桶封闭容器包装，最大泄露量约50kg，废机油位于规范的危废暂存间，且危废间内设有导流设施、收集池等，可满足废机油泄露量的收集，同时危废暂存间外围设有围堰，可避免事故状态下外溢。因此，项目</w:t>
            </w:r>
            <w:r>
              <w:rPr>
                <w:rFonts w:hint="default" w:ascii="Times New Roman" w:hAnsi="Times New Roman" w:eastAsia="宋体" w:cs="Times New Roman"/>
                <w:color w:val="auto"/>
                <w:kern w:val="0"/>
                <w:sz w:val="24"/>
                <w:szCs w:val="24"/>
                <w:highlight w:val="none"/>
              </w:rPr>
              <w:t>对地表水环境</w:t>
            </w:r>
            <w:r>
              <w:rPr>
                <w:rFonts w:hint="eastAsia" w:ascii="Times New Roman" w:eastAsia="宋体" w:cs="Times New Roman"/>
                <w:color w:val="auto"/>
                <w:kern w:val="0"/>
                <w:sz w:val="24"/>
                <w:szCs w:val="24"/>
                <w:highlight w:val="none"/>
                <w:lang w:val="en-US" w:eastAsia="zh-CN"/>
              </w:rPr>
              <w:t>风险</w:t>
            </w:r>
            <w:r>
              <w:rPr>
                <w:rFonts w:hint="default" w:ascii="Times New Roman" w:hAnsi="Times New Roman" w:eastAsia="宋体" w:cs="Times New Roman"/>
                <w:color w:val="auto"/>
                <w:kern w:val="0"/>
                <w:sz w:val="24"/>
                <w:szCs w:val="24"/>
                <w:highlight w:val="none"/>
              </w:rPr>
              <w:t>影响较小。</w:t>
            </w:r>
          </w:p>
          <w:p>
            <w:pPr>
              <w:pStyle w:val="2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（2）地下水影响分析</w:t>
            </w:r>
          </w:p>
          <w:p>
            <w:pPr>
              <w:pStyle w:val="2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造成地下水影响的风险源为危废暂存间，假定废机油包装桶破裂，造成废机油泄漏</w:t>
            </w:r>
            <w:r>
              <w:rPr>
                <w:rFonts w:hint="eastAsia" w:ascii="Times New Roman" w:hAnsi="Times New Roman" w:cs="Times New Roman"/>
                <w:color w:val="auto"/>
                <w:highlight w:val="none"/>
                <w:lang w:eastAsia="zh-CN"/>
              </w:rPr>
              <w:t>。企业严格按照要求建设危废暂存间，并进行地面防渗，</w:t>
            </w:r>
            <w:r>
              <w:rPr>
                <w:rFonts w:hint="eastAsia" w:ascii="Times New Roman" w:cs="Times New Roman"/>
                <w:color w:val="auto"/>
                <w:highlight w:val="none"/>
                <w:lang w:val="en-US" w:eastAsia="zh-CN"/>
              </w:rPr>
              <w:t>导流及截排设施，同时周边</w:t>
            </w:r>
            <w:r>
              <w:rPr>
                <w:rFonts w:hint="eastAsia" w:ascii="Times New Roman" w:hAnsi="Times New Roman" w:cs="Times New Roman"/>
                <w:color w:val="auto"/>
                <w:highlight w:val="none"/>
                <w:lang w:eastAsia="zh-CN"/>
              </w:rPr>
              <w:t>设置围堰，对</w:t>
            </w:r>
            <w:r>
              <w:rPr>
                <w:rFonts w:hint="default" w:ascii="Times New Roman" w:hAnsi="Times New Roman" w:cs="Times New Roman"/>
                <w:color w:val="auto"/>
                <w:highlight w:val="none"/>
              </w:rPr>
              <w:t>区域地下水</w:t>
            </w:r>
            <w:r>
              <w:rPr>
                <w:rFonts w:hint="default" w:ascii="Times New Roman" w:hAnsi="Times New Roman" w:cs="Times New Roman"/>
                <w:color w:val="auto"/>
                <w:highlight w:val="none"/>
                <w:lang w:eastAsia="zh-CN"/>
              </w:rPr>
              <w:t>及土壤</w:t>
            </w:r>
            <w:r>
              <w:rPr>
                <w:rFonts w:hint="default" w:ascii="Times New Roman" w:hAnsi="Times New Roman" w:cs="Times New Roman"/>
                <w:color w:val="auto"/>
                <w:highlight w:val="none"/>
              </w:rPr>
              <w:t>造成影响</w:t>
            </w:r>
            <w:r>
              <w:rPr>
                <w:rFonts w:hint="eastAsia" w:ascii="Times New Roman" w:hAnsi="Times New Roman" w:cs="Times New Roman"/>
                <w:color w:val="auto"/>
                <w:highlight w:val="none"/>
                <w:lang w:eastAsia="zh-CN"/>
              </w:rPr>
              <w:t>较小。</w:t>
            </w:r>
          </w:p>
          <w:p>
            <w:pPr>
              <w:pStyle w:val="23"/>
              <w:snapToGrid w:val="0"/>
              <w:spacing w:line="360" w:lineRule="auto"/>
              <w:ind w:firstLine="482" w:firstLineChars="200"/>
              <w:jc w:val="both"/>
              <w:rPr>
                <w:rFonts w:hint="default" w:ascii="Times New Roman" w:hAnsi="Times New Roman" w:cs="Times New Roman"/>
                <w:b/>
                <w:bCs/>
                <w:color w:val="auto"/>
                <w:highlight w:val="none"/>
              </w:rPr>
            </w:pPr>
            <w:r>
              <w:rPr>
                <w:rFonts w:hint="eastAsia" w:ascii="Times New Roman" w:cs="Times New Roman"/>
                <w:b/>
                <w:bCs/>
                <w:color w:val="auto"/>
                <w:highlight w:val="none"/>
                <w:lang w:val="en-US" w:eastAsia="zh-CN"/>
              </w:rPr>
              <w:t>8</w:t>
            </w:r>
            <w:r>
              <w:rPr>
                <w:rFonts w:hint="default" w:ascii="Times New Roman" w:hAnsi="Times New Roman" w:cs="Times New Roman"/>
                <w:b/>
                <w:bCs/>
                <w:color w:val="auto"/>
                <w:highlight w:val="none"/>
              </w:rPr>
              <w:t>.5风险防范措施及应急要求</w:t>
            </w:r>
          </w:p>
          <w:p>
            <w:pPr>
              <w:pStyle w:val="23"/>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（1）风险防范措施</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①加强安全管理，提高</w:t>
            </w:r>
            <w:r>
              <w:rPr>
                <w:rFonts w:hint="default" w:ascii="Times New Roman" w:hAnsi="Times New Roman" w:cs="Times New Roman"/>
                <w:bCs/>
                <w:color w:val="auto"/>
                <w:sz w:val="24"/>
                <w:highlight w:val="none"/>
              </w:rPr>
              <w:t>员工的安全管理操作意识；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pacing w:val="4"/>
                <w:sz w:val="24"/>
                <w:highlight w:val="none"/>
              </w:rPr>
            </w:pPr>
            <w:r>
              <w:rPr>
                <w:rFonts w:hint="default" w:ascii="Times New Roman" w:hAnsi="Times New Roman" w:cs="Times New Roman"/>
                <w:bCs/>
                <w:color w:val="auto"/>
                <w:sz w:val="24"/>
                <w:highlight w:val="none"/>
              </w:rPr>
              <w:t>②</w:t>
            </w:r>
            <w:r>
              <w:rPr>
                <w:rFonts w:hint="default" w:ascii="Times New Roman" w:hAnsi="Times New Roman" w:cs="Times New Roman"/>
                <w:color w:val="auto"/>
                <w:spacing w:val="4"/>
                <w:sz w:val="24"/>
                <w:highlight w:val="none"/>
              </w:rPr>
              <w:t>加强对设备或设施的维护管理，避免设备故障，一旦发现要及时检修；</w:t>
            </w:r>
          </w:p>
          <w:p>
            <w:pPr>
              <w:pStyle w:val="22"/>
              <w:keepNext w:val="0"/>
              <w:keepLines w:val="0"/>
              <w:pageBreakBefore w:val="0"/>
              <w:widowControl w:val="0"/>
              <w:kinsoku/>
              <w:wordWrap/>
              <w:overflowPunct/>
              <w:topLinePunct w:val="0"/>
              <w:bidi w:val="0"/>
              <w:adjustRightInd w:val="0"/>
              <w:snapToGrid w:val="0"/>
              <w:spacing w:after="0" w:line="360" w:lineRule="auto"/>
              <w:ind w:left="0" w:leftChars="0" w:firstLine="496"/>
              <w:textAlignment w:val="auto"/>
              <w:rPr>
                <w:rFonts w:hint="default" w:ascii="Times New Roman" w:hAnsi="Times New Roman" w:cs="Times New Roman"/>
                <w:color w:val="auto"/>
                <w:spacing w:val="4"/>
                <w:sz w:val="24"/>
                <w:highlight w:val="none"/>
                <w:lang w:val="en-US" w:eastAsia="zh-CN"/>
              </w:rPr>
            </w:pPr>
            <w:r>
              <w:rPr>
                <w:rFonts w:hint="default" w:ascii="Times New Roman" w:hAnsi="Times New Roman" w:cs="Times New Roman"/>
                <w:color w:val="auto"/>
                <w:spacing w:val="4"/>
                <w:sz w:val="24"/>
                <w:highlight w:val="none"/>
                <w:lang w:val="en-US" w:eastAsia="zh-CN"/>
              </w:rPr>
              <w:t>③设置</w:t>
            </w:r>
            <w:r>
              <w:rPr>
                <w:rFonts w:hint="eastAsia" w:cs="Times New Roman"/>
                <w:color w:val="auto"/>
                <w:spacing w:val="4"/>
                <w:sz w:val="24"/>
                <w:highlight w:val="none"/>
                <w:lang w:val="en-US" w:eastAsia="zh-CN"/>
              </w:rPr>
              <w:t>废水收集</w:t>
            </w:r>
            <w:r>
              <w:rPr>
                <w:rFonts w:hint="default" w:ascii="Times New Roman" w:hAnsi="Times New Roman" w:cs="Times New Roman"/>
                <w:color w:val="auto"/>
                <w:spacing w:val="4"/>
                <w:sz w:val="24"/>
                <w:highlight w:val="none"/>
                <w:lang w:val="en-US" w:eastAsia="zh-CN"/>
              </w:rPr>
              <w:t>池，确保废水不外排；</w:t>
            </w:r>
          </w:p>
          <w:p>
            <w:pPr>
              <w:keepNext w:val="0"/>
              <w:keepLines w:val="0"/>
              <w:pageBreakBefore w:val="0"/>
              <w:widowControl w:val="0"/>
              <w:kinsoku/>
              <w:wordWrap/>
              <w:overflowPunct/>
              <w:topLinePunct w:val="0"/>
              <w:bidi w:val="0"/>
              <w:adjustRightInd w:val="0"/>
              <w:snapToGrid w:val="0"/>
              <w:spacing w:line="360" w:lineRule="auto"/>
              <w:ind w:firstLine="496" w:firstLineChars="200"/>
              <w:textAlignment w:val="auto"/>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④严格按照</w:t>
            </w:r>
            <w:r>
              <w:rPr>
                <w:rFonts w:hint="default" w:ascii="Times New Roman" w:hAnsi="Times New Roman" w:cs="Times New Roman"/>
                <w:color w:val="auto"/>
                <w:sz w:val="24"/>
                <w:highlight w:val="none"/>
              </w:rPr>
              <w:t>《危险废物贮存污染控制标准》</w:t>
            </w:r>
            <w:r>
              <w:rPr>
                <w:rFonts w:hint="default" w:ascii="Times New Roman" w:hAnsi="Times New Roman" w:cs="Times New Roman"/>
                <w:color w:val="auto"/>
                <w:spacing w:val="4"/>
                <w:sz w:val="24"/>
                <w:highlight w:val="none"/>
              </w:rPr>
              <w:t>要求建设危废暂存间，对地面进行防渗，设置围堰等；</w:t>
            </w:r>
          </w:p>
          <w:p>
            <w:pPr>
              <w:keepNext w:val="0"/>
              <w:keepLines w:val="0"/>
              <w:pageBreakBefore w:val="0"/>
              <w:widowControl w:val="0"/>
              <w:kinsoku/>
              <w:wordWrap/>
              <w:overflowPunct/>
              <w:topLinePunct w:val="0"/>
              <w:bidi w:val="0"/>
              <w:adjustRightInd w:val="0"/>
              <w:snapToGrid w:val="0"/>
              <w:spacing w:line="360" w:lineRule="auto"/>
              <w:ind w:firstLine="496" w:firstLineChars="200"/>
              <w:textAlignment w:val="auto"/>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⑤</w:t>
            </w:r>
            <w:r>
              <w:rPr>
                <w:rFonts w:hint="default" w:ascii="Times New Roman" w:hAnsi="Times New Roman" w:cs="Times New Roman"/>
                <w:color w:val="auto"/>
                <w:sz w:val="24"/>
                <w:highlight w:val="none"/>
              </w:rPr>
              <w:t>盛装危险废物的容器材质和衬里要与危险废物相容（不相互反应）；容器外应贴上危险废物标签等警示标志，</w:t>
            </w:r>
            <w:r>
              <w:rPr>
                <w:rFonts w:hint="default" w:ascii="Times New Roman" w:hAnsi="Times New Roman" w:cs="Times New Roman"/>
                <w:color w:val="auto"/>
                <w:spacing w:val="4"/>
                <w:sz w:val="24"/>
                <w:highlight w:val="none"/>
              </w:rPr>
              <w:t>并对包装容器进行定期检查；</w:t>
            </w:r>
          </w:p>
          <w:p>
            <w:pPr>
              <w:keepNext w:val="0"/>
              <w:keepLines w:val="0"/>
              <w:pageBreakBefore w:val="0"/>
              <w:widowControl w:val="0"/>
              <w:kinsoku/>
              <w:wordWrap/>
              <w:overflowPunct/>
              <w:topLinePunct w:val="0"/>
              <w:bidi w:val="0"/>
              <w:adjustRightInd w:val="0"/>
              <w:snapToGrid w:val="0"/>
              <w:spacing w:line="360" w:lineRule="auto"/>
              <w:ind w:firstLine="496" w:firstLineChars="200"/>
              <w:textAlignment w:val="auto"/>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⑥及时交</w:t>
            </w:r>
            <w:r>
              <w:rPr>
                <w:rFonts w:hint="eastAsia" w:cs="Times New Roman"/>
                <w:color w:val="auto"/>
                <w:spacing w:val="4"/>
                <w:sz w:val="24"/>
                <w:highlight w:val="none"/>
                <w:lang w:val="en-US" w:eastAsia="zh-CN"/>
              </w:rPr>
              <w:t>由</w:t>
            </w:r>
            <w:r>
              <w:rPr>
                <w:rFonts w:hint="default" w:ascii="Times New Roman" w:hAnsi="Times New Roman" w:cs="Times New Roman"/>
                <w:color w:val="auto"/>
                <w:spacing w:val="4"/>
                <w:sz w:val="24"/>
                <w:highlight w:val="none"/>
              </w:rPr>
              <w:t>有资质单位处置，避免厂内长期存放。</w:t>
            </w:r>
          </w:p>
          <w:p>
            <w:pPr>
              <w:pStyle w:val="22"/>
              <w:keepNext w:val="0"/>
              <w:keepLines w:val="0"/>
              <w:pageBreakBefore w:val="0"/>
              <w:widowControl w:val="0"/>
              <w:kinsoku/>
              <w:wordWrap/>
              <w:overflowPunct/>
              <w:topLinePunct w:val="0"/>
              <w:bidi w:val="0"/>
              <w:adjustRightInd w:val="0"/>
              <w:snapToGrid w:val="0"/>
              <w:spacing w:after="0" w:line="360" w:lineRule="auto"/>
              <w:ind w:left="0" w:leftChars="0" w:firstLine="496"/>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pacing w:val="4"/>
                <w:sz w:val="24"/>
                <w:highlight w:val="none"/>
                <w:lang w:val="en-US" w:eastAsia="zh-CN"/>
              </w:rPr>
              <w:t>（2）应急处置</w:t>
            </w:r>
          </w:p>
          <w:p>
            <w:pPr>
              <w:pStyle w:val="2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废机油泄漏处置；a.对包装容器进行堵漏，切断泄漏源；b.及时更换包装容器；c.采用吸油毡对废油进行处理，并及时将处理后的废物交有资质单位处置。</w:t>
            </w:r>
          </w:p>
          <w:p>
            <w:pPr>
              <w:pStyle w:val="23"/>
              <w:snapToGrid w:val="0"/>
              <w:spacing w:line="360" w:lineRule="auto"/>
              <w:ind w:firstLine="482" w:firstLineChars="200"/>
              <w:jc w:val="both"/>
              <w:rPr>
                <w:rFonts w:hint="default" w:ascii="Times New Roman" w:hAnsi="Times New Roman" w:cs="Times New Roman"/>
                <w:b/>
                <w:bCs/>
                <w:color w:val="auto"/>
                <w:highlight w:val="none"/>
              </w:rPr>
            </w:pPr>
            <w:r>
              <w:rPr>
                <w:rFonts w:hint="eastAsia" w:ascii="Times New Roman" w:cs="Times New Roman"/>
                <w:b/>
                <w:bCs/>
                <w:color w:val="auto"/>
                <w:highlight w:val="none"/>
                <w:lang w:val="en-US" w:eastAsia="zh-CN"/>
              </w:rPr>
              <w:t>8</w:t>
            </w:r>
            <w:r>
              <w:rPr>
                <w:rFonts w:hint="default" w:ascii="Times New Roman" w:hAnsi="Times New Roman" w:cs="Times New Roman"/>
                <w:b/>
                <w:bCs/>
                <w:color w:val="auto"/>
                <w:highlight w:val="none"/>
              </w:rPr>
              <w:t xml:space="preserve">.6风险评价结论 </w:t>
            </w:r>
          </w:p>
          <w:p>
            <w:pPr>
              <w:pStyle w:val="2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项目建设存在一定的环境风险，但建设单位只要按照要求严格设计施工，认真执行评价所提出的各项风险防范措施，并制定环境风险应急预案，严格遵守，可将上述事故发生的几率降至最低，风险事故的环境影响也可控制在可接受范围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auto"/>
                <w:sz w:val="24"/>
                <w:szCs w:val="24"/>
                <w:highlight w:val="none"/>
              </w:rPr>
            </w:pPr>
            <w:r>
              <w:rPr>
                <w:rFonts w:hint="eastAsia" w:ascii="Times New Roman" w:hAnsi="Times New Roman" w:cs="Times New Roman"/>
                <w:b w:val="0"/>
                <w:bCs/>
                <w:color w:val="auto"/>
                <w:sz w:val="24"/>
                <w:szCs w:val="24"/>
                <w:highlight w:val="none"/>
                <w:lang w:eastAsia="zh-CN"/>
              </w:rPr>
              <w:t>综上，项目污染防治措施及投资一览表如下：</w:t>
            </w:r>
          </w:p>
          <w:p>
            <w:pPr>
              <w:adjustRightInd w:val="0"/>
              <w:snapToGrid w:val="0"/>
              <w:jc w:val="center"/>
              <w:rPr>
                <w:rFonts w:hint="default" w:ascii="Times New Roman" w:hAnsi="Times New Roman" w:cs="Times New Roman"/>
                <w:b/>
                <w:color w:val="auto"/>
                <w:szCs w:val="21"/>
                <w:highlight w:val="none"/>
              </w:rPr>
            </w:pPr>
          </w:p>
          <w:p>
            <w:pPr>
              <w:adjustRightInd w:val="0"/>
              <w:snapToGrid w:val="0"/>
              <w:jc w:val="center"/>
              <w:rPr>
                <w:rFonts w:hint="default" w:ascii="Times New Roman" w:hAnsi="Times New Roman" w:cs="Times New Roman"/>
                <w:b/>
                <w:color w:val="auto"/>
                <w:szCs w:val="21"/>
                <w:highlight w:val="none"/>
              </w:rPr>
            </w:pPr>
          </w:p>
          <w:p>
            <w:pPr>
              <w:adjustRightInd w:val="0"/>
              <w:snapToGrid w:val="0"/>
              <w:jc w:val="center"/>
              <w:rPr>
                <w:rFonts w:hint="default" w:ascii="Times New Roman" w:hAnsi="Times New Roman" w:cs="Times New Roman"/>
                <w:b/>
                <w:color w:val="auto"/>
                <w:szCs w:val="21"/>
                <w:highlight w:val="none"/>
              </w:rPr>
            </w:pPr>
          </w:p>
          <w:p>
            <w:pPr>
              <w:adjustRightInd w:val="0"/>
              <w:snapToGrid w:val="0"/>
              <w:jc w:val="center"/>
              <w:rPr>
                <w:rFonts w:hint="default" w:ascii="Times New Roman" w:hAnsi="Times New Roman" w:cs="Times New Roman"/>
                <w:b/>
                <w:color w:val="auto"/>
                <w:szCs w:val="21"/>
                <w:highlight w:val="none"/>
              </w:rPr>
            </w:pPr>
          </w:p>
          <w:p>
            <w:pPr>
              <w:adjustRightInd w:val="0"/>
              <w:snapToGrid w:val="0"/>
              <w:jc w:val="center"/>
              <w:rPr>
                <w:rFonts w:hint="default" w:ascii="Times New Roman" w:hAnsi="Times New Roman" w:cs="Times New Roman"/>
                <w:b/>
                <w:color w:val="auto"/>
                <w:szCs w:val="21"/>
                <w:highlight w:val="none"/>
              </w:rPr>
            </w:pPr>
          </w:p>
          <w:p>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eastAsia" w:ascii="Times New Roman" w:hAnsi="Times New Roman" w:cs="Times New Roman"/>
                <w:b/>
                <w:color w:val="auto"/>
                <w:szCs w:val="21"/>
                <w:highlight w:val="none"/>
                <w:lang w:val="en-US" w:eastAsia="zh-CN"/>
              </w:rPr>
              <w:t>4-1</w:t>
            </w:r>
            <w:r>
              <w:rPr>
                <w:rFonts w:hint="eastAsia" w:cs="Times New Roman"/>
                <w:b/>
                <w:color w:val="auto"/>
                <w:szCs w:val="21"/>
                <w:highlight w:val="none"/>
                <w:lang w:val="en-US" w:eastAsia="zh-CN"/>
              </w:rPr>
              <w:t>5</w:t>
            </w:r>
            <w:r>
              <w:rPr>
                <w:rFonts w:hint="default" w:ascii="Times New Roman" w:hAnsi="Times New Roman" w:cs="Times New Roman"/>
                <w:b/>
                <w:color w:val="auto"/>
                <w:szCs w:val="21"/>
                <w:highlight w:val="none"/>
              </w:rPr>
              <w:t xml:space="preserve"> 环保投资一览表</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1403"/>
              <w:gridCol w:w="5473"/>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810"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c>
                <w:tcPr>
                  <w:tcW w:w="316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污染防治措施</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投资</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万元</w:t>
                  </w:r>
                  <w:r>
                    <w:rPr>
                      <w:rFonts w:hint="eastAsia" w:cs="Times New Roman"/>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restar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81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运输扬尘</w:t>
                  </w:r>
                </w:p>
              </w:tc>
              <w:tc>
                <w:tcPr>
                  <w:tcW w:w="3163"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采用全封闭运输车辆，限制车速，并对路面硬化，定期洒水、清扫，设置轮胎冲洗平台</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continue"/>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p>
              </w:tc>
              <w:tc>
                <w:tcPr>
                  <w:tcW w:w="81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上料</w:t>
                  </w:r>
                  <w:r>
                    <w:rPr>
                      <w:rFonts w:hint="eastAsia" w:cs="Times New Roman"/>
                      <w:color w:val="auto"/>
                      <w:sz w:val="21"/>
                      <w:szCs w:val="21"/>
                      <w:highlight w:val="none"/>
                      <w:lang w:val="en-US" w:eastAsia="zh-CN"/>
                    </w:rPr>
                    <w:t>搅拌</w:t>
                  </w:r>
                  <w:r>
                    <w:rPr>
                      <w:rFonts w:hint="default" w:ascii="Times New Roman" w:hAnsi="Times New Roman" w:cs="Times New Roman"/>
                      <w:color w:val="auto"/>
                      <w:sz w:val="21"/>
                      <w:szCs w:val="21"/>
                      <w:highlight w:val="none"/>
                    </w:rPr>
                    <w:t>粉尘</w:t>
                  </w:r>
                </w:p>
              </w:tc>
              <w:tc>
                <w:tcPr>
                  <w:tcW w:w="3163" w:type="pct"/>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在上料口、</w:t>
                  </w:r>
                  <w:r>
                    <w:rPr>
                      <w:rFonts w:hint="eastAsia" w:cs="Times New Roman"/>
                      <w:color w:val="auto"/>
                      <w:sz w:val="21"/>
                      <w:szCs w:val="21"/>
                      <w:highlight w:val="none"/>
                      <w:lang w:val="en-US" w:eastAsia="zh-CN"/>
                    </w:rPr>
                    <w:t>搅拌机</w:t>
                  </w:r>
                  <w:r>
                    <w:rPr>
                      <w:rFonts w:hint="default" w:ascii="Times New Roman" w:hAnsi="Times New Roman" w:cs="Times New Roman"/>
                      <w:color w:val="auto"/>
                      <w:sz w:val="21"/>
                      <w:szCs w:val="21"/>
                      <w:highlight w:val="none"/>
                      <w:lang w:eastAsia="zh-CN"/>
                    </w:rPr>
                    <w:t>等</w:t>
                  </w:r>
                  <w:r>
                    <w:rPr>
                      <w:rFonts w:hint="eastAsia" w:ascii="Times New Roman" w:hAnsi="Times New Roman" w:cs="Times New Roman"/>
                      <w:color w:val="auto"/>
                      <w:sz w:val="21"/>
                      <w:szCs w:val="21"/>
                      <w:highlight w:val="none"/>
                      <w:lang w:eastAsia="zh-CN"/>
                    </w:rPr>
                    <w:t>产尘点</w:t>
                  </w:r>
                  <w:r>
                    <w:rPr>
                      <w:rFonts w:hint="default" w:ascii="Times New Roman" w:hAnsi="Times New Roman" w:cs="Times New Roman"/>
                      <w:color w:val="auto"/>
                      <w:sz w:val="21"/>
                      <w:szCs w:val="21"/>
                      <w:highlight w:val="none"/>
                      <w:lang w:eastAsia="zh-CN"/>
                    </w:rPr>
                    <w:t>分别</w:t>
                  </w:r>
                  <w:r>
                    <w:rPr>
                      <w:rFonts w:hint="default" w:ascii="Times New Roman" w:hAnsi="Times New Roman" w:cs="Times New Roman"/>
                      <w:color w:val="auto"/>
                      <w:sz w:val="21"/>
                      <w:szCs w:val="21"/>
                      <w:highlight w:val="none"/>
                    </w:rPr>
                    <w:t>设置集气罩，</w:t>
                  </w:r>
                  <w:r>
                    <w:rPr>
                      <w:rFonts w:hint="default" w:ascii="Times New Roman" w:hAnsi="Times New Roman" w:cs="Times New Roman"/>
                      <w:color w:val="auto"/>
                      <w:sz w:val="21"/>
                      <w:szCs w:val="21"/>
                      <w:highlight w:val="none"/>
                      <w:lang w:eastAsia="zh-CN"/>
                    </w:rPr>
                    <w:t>经收集后由</w:t>
                  </w:r>
                  <w:r>
                    <w:rPr>
                      <w:rFonts w:hint="eastAsia" w:ascii="Times New Roman" w:hAnsi="Times New Roman" w:cs="Times New Roman"/>
                      <w:color w:val="auto"/>
                      <w:sz w:val="21"/>
                      <w:szCs w:val="21"/>
                      <w:highlight w:val="none"/>
                      <w:lang w:val="en-US" w:eastAsia="zh-CN"/>
                    </w:rPr>
                    <w:t>1台</w:t>
                  </w:r>
                  <w:r>
                    <w:rPr>
                      <w:rFonts w:hint="default" w:ascii="Times New Roman" w:hAnsi="Times New Roman" w:cs="Times New Roman"/>
                      <w:color w:val="auto"/>
                      <w:sz w:val="21"/>
                      <w:szCs w:val="21"/>
                      <w:highlight w:val="none"/>
                      <w:lang w:eastAsia="zh-CN"/>
                    </w:rPr>
                    <w:t>布袋除尘器集中处理后</w:t>
                  </w:r>
                  <w:r>
                    <w:rPr>
                      <w:rFonts w:hint="default" w:ascii="Times New Roman" w:hAnsi="Times New Roman" w:cs="Times New Roman"/>
                      <w:color w:val="auto"/>
                      <w:sz w:val="21"/>
                      <w:szCs w:val="21"/>
                      <w:highlight w:val="none"/>
                    </w:rPr>
                    <w:t>由15m排气筒排放</w:t>
                  </w:r>
                </w:p>
                <w:p>
                  <w:pPr>
                    <w:keepNext w:val="0"/>
                    <w:keepLines w:val="0"/>
                    <w:pageBreakBefore w:val="0"/>
                    <w:widowControl/>
                    <w:kinsoku/>
                    <w:wordWrap/>
                    <w:overflowPunct/>
                    <w:topLinePunct w:val="0"/>
                    <w:autoSpaceDE/>
                    <w:autoSpaceDN/>
                    <w:bidi w:val="0"/>
                    <w:adjustRightInd w:val="0"/>
                    <w:snapToGrid w:val="0"/>
                    <w:jc w:val="center"/>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输送</w:t>
                  </w:r>
                  <w:r>
                    <w:rPr>
                      <w:rFonts w:hint="default" w:ascii="Times New Roman" w:hAnsi="Times New Roman" w:cs="Times New Roman"/>
                      <w:color w:val="auto"/>
                      <w:sz w:val="21"/>
                      <w:szCs w:val="21"/>
                      <w:highlight w:val="none"/>
                    </w:rPr>
                    <w:t>采用</w:t>
                  </w:r>
                  <w:r>
                    <w:rPr>
                      <w:rFonts w:hint="default" w:ascii="Times New Roman" w:hAnsi="Times New Roman" w:cs="Times New Roman"/>
                      <w:bCs/>
                      <w:color w:val="auto"/>
                      <w:sz w:val="21"/>
                      <w:szCs w:val="21"/>
                      <w:highlight w:val="none"/>
                    </w:rPr>
                    <w:t>密闭</w:t>
                  </w:r>
                  <w:r>
                    <w:rPr>
                      <w:rFonts w:hint="eastAsia" w:ascii="Times New Roman" w:hAnsi="Times New Roman" w:cs="Times New Roman"/>
                      <w:bCs/>
                      <w:color w:val="auto"/>
                      <w:sz w:val="21"/>
                      <w:szCs w:val="21"/>
                      <w:highlight w:val="none"/>
                      <w:lang w:val="en-US" w:eastAsia="zh-CN"/>
                    </w:rPr>
                    <w:t>气力输送</w:t>
                  </w:r>
                  <w:r>
                    <w:rPr>
                      <w:rFonts w:hint="default" w:ascii="Times New Roman" w:hAnsi="Times New Roman" w:cs="Times New Roman"/>
                      <w:bCs/>
                      <w:color w:val="auto"/>
                      <w:sz w:val="21"/>
                      <w:szCs w:val="21"/>
                      <w:highlight w:val="none"/>
                    </w:rPr>
                    <w:t>，受料口、落料口</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除尘灰出口均</w:t>
                  </w:r>
                  <w:r>
                    <w:rPr>
                      <w:rFonts w:hint="default" w:ascii="Times New Roman" w:hAnsi="Times New Roman" w:cs="Times New Roman"/>
                      <w:bCs/>
                      <w:color w:val="auto"/>
                      <w:sz w:val="21"/>
                      <w:szCs w:val="21"/>
                      <w:highlight w:val="none"/>
                    </w:rPr>
                    <w:t>采取封闭措施</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restar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81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设备及模具清洗</w:t>
                  </w:r>
                  <w:r>
                    <w:rPr>
                      <w:rFonts w:hint="default" w:ascii="Times New Roman" w:hAnsi="Times New Roman" w:cs="Times New Roman"/>
                      <w:color w:val="auto"/>
                      <w:sz w:val="21"/>
                      <w:szCs w:val="21"/>
                      <w:highlight w:val="none"/>
                    </w:rPr>
                    <w:t>废水</w:t>
                  </w:r>
                </w:p>
              </w:tc>
              <w:tc>
                <w:tcPr>
                  <w:tcW w:w="3163" w:type="pct"/>
                  <w:noWrap w:val="0"/>
                  <w:tcMar>
                    <w:top w:w="0" w:type="dxa"/>
                    <w:left w:w="57" w:type="dxa"/>
                    <w:bottom w:w="0" w:type="dxa"/>
                    <w:right w:w="57" w:type="dxa"/>
                  </w:tcMar>
                  <w:vAlign w:val="center"/>
                </w:tcPr>
                <w:p>
                  <w:pPr>
                    <w:keepNext w:val="0"/>
                    <w:keepLines w:val="0"/>
                    <w:pageBreakBefore w:val="0"/>
                    <w:tabs>
                      <w:tab w:val="left" w:pos="3690"/>
                    </w:tabs>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设1个</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废水收集池，经收集沉淀后循环使用，不外排</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continue"/>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p>
              </w:tc>
              <w:tc>
                <w:tcPr>
                  <w:tcW w:w="81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洗车废水</w:t>
                  </w:r>
                </w:p>
              </w:tc>
              <w:tc>
                <w:tcPr>
                  <w:tcW w:w="3163" w:type="pct"/>
                  <w:noWrap w:val="0"/>
                  <w:tcMar>
                    <w:top w:w="0" w:type="dxa"/>
                    <w:left w:w="57" w:type="dxa"/>
                    <w:bottom w:w="0" w:type="dxa"/>
                    <w:right w:w="57" w:type="dxa"/>
                  </w:tcMar>
                  <w:vAlign w:val="center"/>
                </w:tcPr>
                <w:p>
                  <w:pPr>
                    <w:keepNext w:val="0"/>
                    <w:keepLines w:val="0"/>
                    <w:pageBreakBefore w:val="0"/>
                    <w:tabs>
                      <w:tab w:val="left" w:pos="3690"/>
                    </w:tabs>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设1个</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沉淀池，循环使用，不外排</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continue"/>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p>
              </w:tc>
              <w:tc>
                <w:tcPr>
                  <w:tcW w:w="81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生活污水</w:t>
                  </w:r>
                </w:p>
              </w:tc>
              <w:tc>
                <w:tcPr>
                  <w:tcW w:w="3163" w:type="pct"/>
                  <w:noWrap w:val="0"/>
                  <w:tcMar>
                    <w:top w:w="0" w:type="dxa"/>
                    <w:left w:w="57" w:type="dxa"/>
                    <w:bottom w:w="0" w:type="dxa"/>
                    <w:right w:w="57" w:type="dxa"/>
                  </w:tcMar>
                  <w:vAlign w:val="center"/>
                </w:tcPr>
                <w:p>
                  <w:pPr>
                    <w:keepNext w:val="0"/>
                    <w:keepLines w:val="0"/>
                    <w:pageBreakBefore w:val="0"/>
                    <w:tabs>
                      <w:tab w:val="left" w:pos="3690"/>
                    </w:tabs>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用于厂区洒水</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continue"/>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p>
              </w:tc>
              <w:tc>
                <w:tcPr>
                  <w:tcW w:w="81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初期雨水</w:t>
                  </w:r>
                </w:p>
              </w:tc>
              <w:tc>
                <w:tcPr>
                  <w:tcW w:w="3163" w:type="pct"/>
                  <w:noWrap w:val="0"/>
                  <w:tcMar>
                    <w:top w:w="0" w:type="dxa"/>
                    <w:left w:w="57" w:type="dxa"/>
                    <w:bottom w:w="0" w:type="dxa"/>
                    <w:right w:w="57" w:type="dxa"/>
                  </w:tcMar>
                  <w:vAlign w:val="center"/>
                </w:tcPr>
                <w:p>
                  <w:pPr>
                    <w:keepNext w:val="0"/>
                    <w:keepLines w:val="0"/>
                    <w:pageBreakBefore w:val="0"/>
                    <w:tabs>
                      <w:tab w:val="left" w:pos="3690"/>
                    </w:tabs>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设1座50m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雨水收集池，经收集后用于厂区洒水</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restar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810"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生产设备</w:t>
                  </w:r>
                </w:p>
              </w:tc>
              <w:tc>
                <w:tcPr>
                  <w:tcW w:w="316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选用低噪设备，室内安装、基础减振、定期维护</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continue"/>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p>
              </w:tc>
              <w:tc>
                <w:tcPr>
                  <w:tcW w:w="810"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运输车辆</w:t>
                  </w:r>
                </w:p>
              </w:tc>
              <w:tc>
                <w:tcPr>
                  <w:tcW w:w="316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禁止鸣笛、限制车速</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restar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810" w:type="pct"/>
                  <w:noWrap w:val="0"/>
                  <w:tcMar>
                    <w:top w:w="0" w:type="dxa"/>
                    <w:left w:w="57" w:type="dxa"/>
                    <w:bottom w:w="0" w:type="dxa"/>
                    <w:right w:w="57" w:type="dxa"/>
                  </w:tcMar>
                  <w:vAlign w:val="center"/>
                </w:tcPr>
                <w:p>
                  <w:pPr>
                    <w:keepNext w:val="0"/>
                    <w:keepLines w:val="0"/>
                    <w:pageBreakBefore w:val="0"/>
                    <w:tabs>
                      <w:tab w:val="left" w:pos="7470"/>
                    </w:tabs>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废包装材料</w:t>
                  </w:r>
                </w:p>
              </w:tc>
              <w:tc>
                <w:tcPr>
                  <w:tcW w:w="3163"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经收集后作为废品外售处置</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continue"/>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p>
              </w:tc>
              <w:tc>
                <w:tcPr>
                  <w:tcW w:w="810" w:type="pct"/>
                  <w:noWrap w:val="0"/>
                  <w:tcMar>
                    <w:top w:w="0" w:type="dxa"/>
                    <w:left w:w="57" w:type="dxa"/>
                    <w:bottom w:w="0" w:type="dxa"/>
                    <w:right w:w="57" w:type="dxa"/>
                  </w:tcMar>
                  <w:vAlign w:val="center"/>
                </w:tcPr>
                <w:p>
                  <w:pPr>
                    <w:keepNext w:val="0"/>
                    <w:keepLines w:val="0"/>
                    <w:pageBreakBefore w:val="0"/>
                    <w:tabs>
                      <w:tab w:val="left" w:pos="7470"/>
                    </w:tabs>
                    <w:kinsoku/>
                    <w:wordWrap/>
                    <w:overflowPunct/>
                    <w:topLinePunct w:val="0"/>
                    <w:autoSpaceDE/>
                    <w:autoSpaceDN/>
                    <w:bidi w:val="0"/>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不合格品</w:t>
                  </w:r>
                </w:p>
              </w:tc>
              <w:tc>
                <w:tcPr>
                  <w:tcW w:w="3163"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经收集后作为建材综合利用</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continue"/>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p>
              </w:tc>
              <w:tc>
                <w:tcPr>
                  <w:tcW w:w="810" w:type="pct"/>
                  <w:noWrap w:val="0"/>
                  <w:tcMar>
                    <w:top w:w="0" w:type="dxa"/>
                    <w:left w:w="57" w:type="dxa"/>
                    <w:bottom w:w="0" w:type="dxa"/>
                    <w:right w:w="57" w:type="dxa"/>
                  </w:tcMar>
                  <w:vAlign w:val="center"/>
                </w:tcPr>
                <w:p>
                  <w:pPr>
                    <w:keepNext w:val="0"/>
                    <w:keepLines w:val="0"/>
                    <w:pageBreakBefore w:val="0"/>
                    <w:tabs>
                      <w:tab w:val="left" w:pos="7470"/>
                    </w:tabs>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除尘灰</w:t>
                  </w:r>
                </w:p>
              </w:tc>
              <w:tc>
                <w:tcPr>
                  <w:tcW w:w="3163"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经收集后</w:t>
                  </w:r>
                  <w:r>
                    <w:rPr>
                      <w:rFonts w:hint="eastAsia" w:cs="Times New Roman"/>
                      <w:color w:val="auto"/>
                      <w:sz w:val="21"/>
                      <w:szCs w:val="21"/>
                      <w:highlight w:val="none"/>
                      <w:lang w:val="en-US" w:eastAsia="zh-CN"/>
                    </w:rPr>
                    <w:t>返回于生产工序</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continue"/>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p>
              </w:tc>
              <w:tc>
                <w:tcPr>
                  <w:tcW w:w="810" w:type="pct"/>
                  <w:noWrap w:val="0"/>
                  <w:tcMar>
                    <w:top w:w="0" w:type="dxa"/>
                    <w:left w:w="57" w:type="dxa"/>
                    <w:bottom w:w="0" w:type="dxa"/>
                    <w:right w:w="57" w:type="dxa"/>
                  </w:tcMar>
                  <w:vAlign w:val="center"/>
                </w:tcPr>
                <w:p>
                  <w:pPr>
                    <w:keepNext w:val="0"/>
                    <w:keepLines w:val="0"/>
                    <w:pageBreakBefore w:val="0"/>
                    <w:tabs>
                      <w:tab w:val="left" w:pos="7470"/>
                    </w:tabs>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废机油、废包装桶</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废棉纱</w:t>
                  </w:r>
                </w:p>
              </w:tc>
              <w:tc>
                <w:tcPr>
                  <w:tcW w:w="3163"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设1个</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危废暂存间，经密封容器收集后储存于危险废物暂存间，定期交有资质单位处</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continue"/>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p>
              </w:tc>
              <w:tc>
                <w:tcPr>
                  <w:tcW w:w="810" w:type="pct"/>
                  <w:noWrap w:val="0"/>
                  <w:tcMar>
                    <w:top w:w="0" w:type="dxa"/>
                    <w:left w:w="57" w:type="dxa"/>
                    <w:bottom w:w="0" w:type="dxa"/>
                    <w:right w:w="57" w:type="dxa"/>
                  </w:tcMar>
                  <w:vAlign w:val="center"/>
                </w:tcPr>
                <w:p>
                  <w:pPr>
                    <w:keepNext w:val="0"/>
                    <w:keepLines w:val="0"/>
                    <w:pageBreakBefore w:val="0"/>
                    <w:tabs>
                      <w:tab w:val="left" w:pos="7470"/>
                    </w:tabs>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3163"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设2个垃圾桶，经收集后送环卫指定地点处置</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restar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w:t>
                  </w:r>
                </w:p>
              </w:tc>
              <w:tc>
                <w:tcPr>
                  <w:tcW w:w="810"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绿化</w:t>
                  </w:r>
                </w:p>
              </w:tc>
              <w:tc>
                <w:tcPr>
                  <w:tcW w:w="316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绿化面积</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00m</w:t>
                  </w:r>
                  <w:r>
                    <w:rPr>
                      <w:rFonts w:hint="default" w:ascii="Times New Roman" w:hAnsi="Times New Roman" w:cs="Times New Roman"/>
                      <w:color w:val="auto"/>
                      <w:sz w:val="21"/>
                      <w:szCs w:val="21"/>
                      <w:highlight w:val="none"/>
                      <w:vertAlign w:val="superscript"/>
                    </w:rPr>
                    <w:t>2</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continue"/>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p>
              </w:tc>
              <w:tc>
                <w:tcPr>
                  <w:tcW w:w="810"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硬化</w:t>
                  </w:r>
                </w:p>
              </w:tc>
              <w:tc>
                <w:tcPr>
                  <w:tcW w:w="316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厂区地面全部硬化，硬化率100%</w:t>
                  </w: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3" w:type="pct"/>
                  <w:gridSpan w:val="2"/>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总计</w:t>
                  </w:r>
                </w:p>
              </w:tc>
              <w:tc>
                <w:tcPr>
                  <w:tcW w:w="316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highlight w:val="none"/>
                    </w:rPr>
                  </w:pPr>
                </w:p>
              </w:tc>
              <w:tc>
                <w:tcPr>
                  <w:tcW w:w="693" w:type="pct"/>
                  <w:noWrap w:val="0"/>
                  <w:tcMar>
                    <w:top w:w="0" w:type="dxa"/>
                    <w:left w:w="57" w:type="dxa"/>
                    <w:bottom w:w="0" w:type="dxa"/>
                    <w:right w:w="57" w:type="dxa"/>
                  </w:tcMar>
                  <w:vAlign w:val="center"/>
                </w:tcPr>
                <w:p>
                  <w:pPr>
                    <w:pStyle w:val="49"/>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r>
          </w:tbl>
          <w:p>
            <w:pPr>
              <w:adjustRightInd w:val="0"/>
              <w:snapToGrid w:val="0"/>
              <w:rPr>
                <w:rFonts w:ascii="宋体" w:hAnsi="宋体" w:cs="宋体"/>
                <w:bCs/>
                <w:color w:val="auto"/>
                <w:spacing w:val="-10"/>
                <w:szCs w:val="21"/>
                <w:highlight w:val="none"/>
              </w:rPr>
            </w:pPr>
          </w:p>
        </w:tc>
      </w:tr>
    </w:tbl>
    <w:p>
      <w:pPr>
        <w:adjustRightInd w:val="0"/>
        <w:snapToGrid w:val="0"/>
        <w:spacing w:line="360" w:lineRule="auto"/>
        <w:rPr>
          <w:rFonts w:hint="eastAsia" w:ascii="宋体" w:cs="宋体"/>
          <w:b/>
          <w:color w:val="auto"/>
          <w:kern w:val="0"/>
          <w:sz w:val="28"/>
          <w:szCs w:val="28"/>
          <w:highlight w:val="none"/>
        </w:rPr>
        <w:sectPr>
          <w:pgSz w:w="11907" w:h="16840"/>
          <w:pgMar w:top="1701" w:right="1417" w:bottom="1701" w:left="1417"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0"/>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黑体" w:hAnsi="黑体" w:eastAsia="黑体" w:cs="Times New Roman"/>
          <w:snapToGrid w:val="0"/>
          <w:color w:val="auto"/>
          <w:sz w:val="32"/>
          <w:szCs w:val="32"/>
          <w:highlight w:val="none"/>
        </w:rPr>
      </w:pPr>
      <w:r>
        <w:rPr>
          <w:rFonts w:hint="eastAsia" w:ascii="黑体" w:hAnsi="黑体" w:eastAsia="黑体" w:cs="Times New Roman"/>
          <w:snapToGrid w:val="0"/>
          <w:color w:val="auto"/>
          <w:sz w:val="32"/>
          <w:szCs w:val="32"/>
          <w:highlight w:val="none"/>
        </w:rPr>
        <w:t>五、</w:t>
      </w:r>
      <w:bookmarkStart w:id="16" w:name="_Hlk54167917"/>
      <w:r>
        <w:rPr>
          <w:rFonts w:hint="eastAsia" w:ascii="黑体" w:hAnsi="黑体" w:eastAsia="黑体" w:cs="Times New Roman"/>
          <w:snapToGrid w:val="0"/>
          <w:color w:val="auto"/>
          <w:sz w:val="32"/>
          <w:szCs w:val="32"/>
          <w:highlight w:val="none"/>
        </w:rPr>
        <w:t>环境保护措施监督检查清单</w:t>
      </w:r>
      <w:bookmarkEnd w:id="16"/>
    </w:p>
    <w:tbl>
      <w:tblPr>
        <w:tblStyle w:val="24"/>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455"/>
        <w:gridCol w:w="1418"/>
        <w:gridCol w:w="3314"/>
        <w:gridCol w:w="18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tcBorders>
              <w:tl2br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内容</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要素</w:t>
            </w: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排放口</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编号、名称</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/污染源</w:t>
            </w: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污染物项目</w:t>
            </w:r>
          </w:p>
        </w:tc>
        <w:tc>
          <w:tcPr>
            <w:tcW w:w="178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环境保护措施</w:t>
            </w:r>
          </w:p>
        </w:tc>
        <w:tc>
          <w:tcPr>
            <w:tcW w:w="9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大气环境</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szCs w:val="24"/>
                <w:highlight w:val="none"/>
              </w:rPr>
              <w:t>运输</w:t>
            </w:r>
          </w:p>
        </w:tc>
        <w:tc>
          <w:tcPr>
            <w:tcW w:w="76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szCs w:val="24"/>
                <w:highlight w:val="none"/>
              </w:rPr>
              <w:t>扬尘</w:t>
            </w:r>
          </w:p>
        </w:tc>
        <w:tc>
          <w:tcPr>
            <w:tcW w:w="178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采用全封闭运输车辆，限制车速，并对路面硬化，定期洒水、清扫，设置轮胎冲洗平台</w:t>
            </w:r>
          </w:p>
        </w:tc>
        <w:tc>
          <w:tcPr>
            <w:tcW w:w="98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default" w:ascii="Times New Roman" w:hAnsi="Times New Roman" w:cs="Times New Roman"/>
                <w:color w:val="auto"/>
                <w:sz w:val="24"/>
                <w:szCs w:val="24"/>
                <w:highlight w:val="none"/>
              </w:rPr>
              <w:t>《大气污染物排放标准》（GB16297-1996）中二级排放标准</w:t>
            </w:r>
            <w:r>
              <w:rPr>
                <w:rFonts w:hint="eastAsia" w:cs="Times New Roman"/>
                <w:color w:val="auto"/>
                <w:sz w:val="24"/>
                <w:szCs w:val="24"/>
                <w:highlight w:val="none"/>
                <w:lang w:eastAsia="zh-CN"/>
              </w:rPr>
              <w:t>及</w:t>
            </w:r>
            <w:r>
              <w:rPr>
                <w:rFonts w:hint="default" w:ascii="Times New Roman" w:hAnsi="Times New Roman" w:cs="Times New Roman"/>
                <w:color w:val="auto"/>
                <w:sz w:val="24"/>
                <w:szCs w:val="24"/>
                <w:highlight w:val="none"/>
              </w:rPr>
              <w:t>无组织监控浓度排放限值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szCs w:val="24"/>
                <w:highlight w:val="none"/>
              </w:rPr>
              <w:t>上料转运</w:t>
            </w:r>
          </w:p>
        </w:tc>
        <w:tc>
          <w:tcPr>
            <w:tcW w:w="76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szCs w:val="24"/>
                <w:highlight w:val="none"/>
              </w:rPr>
              <w:t>粉尘</w:t>
            </w:r>
          </w:p>
        </w:tc>
        <w:tc>
          <w:tcPr>
            <w:tcW w:w="178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上料口、搅拌机</w:t>
            </w:r>
            <w:r>
              <w:rPr>
                <w:rFonts w:hint="default" w:ascii="Times New Roman" w:hAnsi="Times New Roman" w:eastAsia="宋体" w:cs="Times New Roman"/>
                <w:color w:val="auto"/>
                <w:spacing w:val="0"/>
                <w:sz w:val="24"/>
                <w:szCs w:val="24"/>
                <w:highlight w:val="none"/>
                <w:lang w:eastAsia="zh-CN"/>
              </w:rPr>
              <w:t>上方</w:t>
            </w:r>
            <w:r>
              <w:rPr>
                <w:rFonts w:hint="eastAsia" w:cs="Times New Roman"/>
                <w:color w:val="auto"/>
                <w:spacing w:val="0"/>
                <w:sz w:val="24"/>
                <w:szCs w:val="24"/>
                <w:highlight w:val="none"/>
                <w:lang w:val="en-US" w:eastAsia="zh-CN"/>
              </w:rPr>
              <w:t>分别</w:t>
            </w:r>
            <w:r>
              <w:rPr>
                <w:rFonts w:hint="default" w:ascii="Times New Roman" w:hAnsi="Times New Roman" w:eastAsia="宋体" w:cs="Times New Roman"/>
                <w:color w:val="auto"/>
                <w:spacing w:val="0"/>
                <w:sz w:val="24"/>
                <w:szCs w:val="24"/>
                <w:highlight w:val="none"/>
                <w:lang w:eastAsia="zh-CN"/>
              </w:rPr>
              <w:t>设置集气罩，</w:t>
            </w:r>
            <w:r>
              <w:rPr>
                <w:rFonts w:hint="eastAsia" w:ascii="Times New Roman" w:hAnsi="Times New Roman" w:eastAsia="宋体" w:cs="Times New Roman"/>
                <w:color w:val="auto"/>
                <w:spacing w:val="0"/>
                <w:sz w:val="24"/>
                <w:szCs w:val="24"/>
                <w:highlight w:val="none"/>
                <w:lang w:eastAsia="zh-CN"/>
              </w:rPr>
              <w:t>收集后连接至</w:t>
            </w:r>
            <w:r>
              <w:rPr>
                <w:rFonts w:hint="default" w:ascii="Times New Roman" w:hAnsi="Times New Roman" w:eastAsia="宋体" w:cs="Times New Roman"/>
                <w:color w:val="auto"/>
                <w:spacing w:val="0"/>
                <w:sz w:val="24"/>
                <w:szCs w:val="24"/>
                <w:highlight w:val="none"/>
                <w:lang w:val="en-US" w:eastAsia="zh-CN"/>
              </w:rPr>
              <w:t>布袋除尘器处理后排放</w:t>
            </w:r>
            <w:r>
              <w:rPr>
                <w:rFonts w:hint="eastAsia" w:eastAsia="宋体" w:cs="Times New Roman"/>
                <w:color w:val="auto"/>
                <w:spacing w:val="0"/>
                <w:sz w:val="24"/>
                <w:szCs w:val="24"/>
                <w:highlight w:val="none"/>
                <w:lang w:val="en-US" w:eastAsia="zh-CN"/>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szCs w:val="24"/>
                <w:highlight w:val="none"/>
              </w:rPr>
              <w:t>全密闭输送，受料口、落料口</w:t>
            </w:r>
            <w:r>
              <w:rPr>
                <w:rFonts w:hint="eastAsia" w:cs="Times New Roman"/>
                <w:bCs/>
                <w:color w:val="auto"/>
                <w:sz w:val="24"/>
                <w:szCs w:val="24"/>
                <w:highlight w:val="none"/>
                <w:lang w:val="en-US" w:eastAsia="zh-CN"/>
              </w:rPr>
              <w:t>及</w:t>
            </w:r>
            <w:r>
              <w:rPr>
                <w:rFonts w:hint="eastAsia" w:cs="Times New Roman"/>
                <w:bCs/>
                <w:color w:val="auto"/>
                <w:sz w:val="24"/>
                <w:szCs w:val="24"/>
                <w:highlight w:val="none"/>
                <w:lang w:eastAsia="zh-CN"/>
              </w:rPr>
              <w:t>除尘器落灰口等均</w:t>
            </w:r>
            <w:r>
              <w:rPr>
                <w:rFonts w:hint="default" w:ascii="Times New Roman" w:hAnsi="Times New Roman" w:cs="Times New Roman"/>
                <w:bCs/>
                <w:color w:val="auto"/>
                <w:sz w:val="24"/>
                <w:szCs w:val="24"/>
                <w:highlight w:val="none"/>
              </w:rPr>
              <w:t>采取封闭措施</w:t>
            </w:r>
          </w:p>
        </w:tc>
        <w:tc>
          <w:tcPr>
            <w:tcW w:w="98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地表水环境</w:t>
            </w: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洗车废水</w:t>
            </w: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SS</w:t>
            </w:r>
          </w:p>
        </w:tc>
        <w:tc>
          <w:tcPr>
            <w:tcW w:w="1785" w:type="pct"/>
            <w:noWrap w:val="0"/>
            <w:vAlign w:val="center"/>
          </w:tcPr>
          <w:p>
            <w:pPr>
              <w:keepNext w:val="0"/>
              <w:keepLines w:val="0"/>
              <w:pageBreakBefore w:val="0"/>
              <w:tabs>
                <w:tab w:val="left" w:pos="369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设1个</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沉淀池，</w:t>
            </w:r>
            <w:r>
              <w:rPr>
                <w:rFonts w:hint="eastAsia" w:cs="Times New Roman"/>
                <w:color w:val="auto"/>
                <w:sz w:val="24"/>
                <w:szCs w:val="24"/>
                <w:highlight w:val="none"/>
                <w:lang w:val="en-US" w:eastAsia="zh-CN"/>
              </w:rPr>
              <w:t>经沉淀后</w:t>
            </w:r>
            <w:r>
              <w:rPr>
                <w:rFonts w:hint="default" w:ascii="Times New Roman" w:hAnsi="Times New Roman" w:cs="Times New Roman"/>
                <w:color w:val="auto"/>
                <w:sz w:val="24"/>
                <w:szCs w:val="24"/>
                <w:highlight w:val="none"/>
              </w:rPr>
              <w:t>循环使用</w:t>
            </w:r>
          </w:p>
        </w:tc>
        <w:tc>
          <w:tcPr>
            <w:tcW w:w="98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设备及模具清洗</w:t>
            </w:r>
            <w:r>
              <w:rPr>
                <w:rFonts w:hint="default" w:ascii="Times New Roman" w:hAnsi="Times New Roman" w:cs="Times New Roman"/>
                <w:color w:val="auto"/>
                <w:sz w:val="24"/>
                <w:szCs w:val="24"/>
                <w:highlight w:val="none"/>
              </w:rPr>
              <w:t>废水</w:t>
            </w: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SS</w:t>
            </w:r>
          </w:p>
        </w:tc>
        <w:tc>
          <w:tcPr>
            <w:tcW w:w="1785" w:type="pct"/>
            <w:noWrap w:val="0"/>
            <w:vAlign w:val="center"/>
          </w:tcPr>
          <w:p>
            <w:pPr>
              <w:keepNext w:val="0"/>
              <w:keepLines w:val="0"/>
              <w:pageBreakBefore w:val="0"/>
              <w:tabs>
                <w:tab w:val="left" w:pos="369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设置1个容积</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的废水收集池，经收集沉淀后循环使用</w:t>
            </w:r>
          </w:p>
        </w:tc>
        <w:tc>
          <w:tcPr>
            <w:tcW w:w="98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员工生活</w:t>
            </w: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生活污水</w:t>
            </w:r>
          </w:p>
        </w:tc>
        <w:tc>
          <w:tcPr>
            <w:tcW w:w="1785" w:type="pct"/>
            <w:noWrap w:val="0"/>
            <w:vAlign w:val="center"/>
          </w:tcPr>
          <w:p>
            <w:pPr>
              <w:keepNext w:val="0"/>
              <w:keepLines w:val="0"/>
              <w:pageBreakBefore w:val="0"/>
              <w:tabs>
                <w:tab w:val="left" w:pos="369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用于厂区洒水</w:t>
            </w:r>
          </w:p>
        </w:tc>
        <w:tc>
          <w:tcPr>
            <w:tcW w:w="98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初期雨水</w:t>
            </w: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SS</w:t>
            </w:r>
          </w:p>
        </w:tc>
        <w:tc>
          <w:tcPr>
            <w:tcW w:w="1785" w:type="pct"/>
            <w:noWrap w:val="0"/>
            <w:vAlign w:val="center"/>
          </w:tcPr>
          <w:p>
            <w:pPr>
              <w:keepNext w:val="0"/>
              <w:keepLines w:val="0"/>
              <w:pageBreakBefore w:val="0"/>
              <w:tabs>
                <w:tab w:val="left" w:pos="369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设</w:t>
            </w:r>
            <w:r>
              <w:rPr>
                <w:rFonts w:hint="default" w:ascii="Times New Roman" w:hAnsi="Times New Roman" w:cs="Times New Roman"/>
                <w:color w:val="auto"/>
                <w:sz w:val="24"/>
                <w:szCs w:val="24"/>
                <w:highlight w:val="none"/>
              </w:rPr>
              <w:t>1个</w:t>
            </w:r>
            <w:r>
              <w:rPr>
                <w:rFonts w:hint="eastAsia" w:cs="Times New Roman"/>
                <w:color w:val="auto"/>
                <w:sz w:val="24"/>
                <w:szCs w:val="24"/>
                <w:highlight w:val="none"/>
                <w:lang w:val="en-US" w:eastAsia="zh-CN"/>
              </w:rPr>
              <w:t>50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val="en-US" w:eastAsia="zh-CN"/>
              </w:rPr>
              <w:t>雨水收集</w:t>
            </w:r>
            <w:r>
              <w:rPr>
                <w:rFonts w:hint="default" w:ascii="Times New Roman" w:hAnsi="Times New Roman" w:cs="Times New Roman"/>
                <w:color w:val="auto"/>
                <w:sz w:val="24"/>
                <w:szCs w:val="24"/>
                <w:highlight w:val="none"/>
              </w:rPr>
              <w:t>池，</w:t>
            </w:r>
            <w:r>
              <w:rPr>
                <w:rFonts w:hint="eastAsia" w:cs="Times New Roman"/>
                <w:color w:val="auto"/>
                <w:sz w:val="24"/>
                <w:szCs w:val="24"/>
                <w:highlight w:val="none"/>
                <w:lang w:val="en-US" w:eastAsia="zh-CN"/>
              </w:rPr>
              <w:t>经收集后</w:t>
            </w:r>
            <w:r>
              <w:rPr>
                <w:rFonts w:hint="eastAsia" w:ascii="Times New Roman" w:hAnsi="Times New Roman" w:cs="Times New Roman"/>
                <w:color w:val="auto"/>
                <w:sz w:val="24"/>
                <w:szCs w:val="24"/>
                <w:highlight w:val="none"/>
                <w:lang w:val="en-US" w:eastAsia="zh-CN"/>
              </w:rPr>
              <w:t>用于厂区洒水</w:t>
            </w:r>
          </w:p>
        </w:tc>
        <w:tc>
          <w:tcPr>
            <w:tcW w:w="98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声环境</w:t>
            </w: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生产设备</w:t>
            </w: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噪声</w:t>
            </w:r>
          </w:p>
        </w:tc>
        <w:tc>
          <w:tcPr>
            <w:tcW w:w="178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选用低噪声设备、基础减震、加强设备维护保养。</w:t>
            </w:r>
          </w:p>
        </w:tc>
        <w:tc>
          <w:tcPr>
            <w:tcW w:w="98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default" w:ascii="Times New Roman" w:hAnsi="Times New Roman" w:cs="Times New Roman"/>
                <w:color w:val="auto"/>
                <w:sz w:val="24"/>
                <w:szCs w:val="24"/>
                <w:highlight w:val="none"/>
              </w:rPr>
              <w:t>《工业企业厂界环境噪声排放标准》(GB12348-2008)</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运输车辆</w:t>
            </w: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噪声</w:t>
            </w:r>
          </w:p>
        </w:tc>
        <w:tc>
          <w:tcPr>
            <w:tcW w:w="178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禁止鸣笛、限制车速</w:t>
            </w:r>
          </w:p>
        </w:tc>
        <w:tc>
          <w:tcPr>
            <w:tcW w:w="98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固体废物</w:t>
            </w: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原料使用</w:t>
            </w: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废包装材料</w:t>
            </w:r>
          </w:p>
        </w:tc>
        <w:tc>
          <w:tcPr>
            <w:tcW w:w="178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经收集后作为废品外售</w:t>
            </w:r>
          </w:p>
        </w:tc>
        <w:tc>
          <w:tcPr>
            <w:tcW w:w="98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sz w:val="24"/>
                <w:szCs w:val="24"/>
                <w:highlight w:val="none"/>
              </w:rPr>
              <w:t>一般工业固体废物贮存和填埋污染控制标准》（GB18599－2020）规定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生产过程</w:t>
            </w: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不合格品</w:t>
            </w:r>
          </w:p>
        </w:tc>
        <w:tc>
          <w:tcPr>
            <w:tcW w:w="178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经收集后送建材厂综合利用</w:t>
            </w:r>
          </w:p>
        </w:tc>
        <w:tc>
          <w:tcPr>
            <w:tcW w:w="98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除尘器</w:t>
            </w: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除尘灰</w:t>
            </w:r>
          </w:p>
        </w:tc>
        <w:tc>
          <w:tcPr>
            <w:tcW w:w="178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经收集后</w:t>
            </w:r>
            <w:r>
              <w:rPr>
                <w:rFonts w:hint="eastAsia" w:ascii="宋体" w:hAnsi="宋体" w:cs="宋体"/>
                <w:color w:val="auto"/>
                <w:sz w:val="24"/>
                <w:szCs w:val="24"/>
                <w:highlight w:val="none"/>
                <w:lang w:val="en-US" w:eastAsia="zh-CN"/>
              </w:rPr>
              <w:t>返回生产工序</w:t>
            </w:r>
          </w:p>
        </w:tc>
        <w:tc>
          <w:tcPr>
            <w:tcW w:w="98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783"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设备维修</w:t>
            </w: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废机油</w:t>
            </w:r>
          </w:p>
        </w:tc>
        <w:tc>
          <w:tcPr>
            <w:tcW w:w="178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经危废暂存间收集后定期交有资质单位处置</w:t>
            </w:r>
          </w:p>
        </w:tc>
        <w:tc>
          <w:tcPr>
            <w:tcW w:w="984" w:type="pct"/>
            <w:vMerge w:val="restart"/>
            <w:noWrap w:val="0"/>
            <w:vAlign w:val="center"/>
          </w:tcPr>
          <w:p>
            <w:pPr>
              <w:pStyle w:val="33"/>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sz w:val="24"/>
                <w:szCs w:val="24"/>
                <w:highlight w:val="none"/>
              </w:rPr>
              <w:t>《危险废物贮存污染控制标准》（GB18597-2001）和2013修改单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783"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废包装桶</w:t>
            </w:r>
          </w:p>
        </w:tc>
        <w:tc>
          <w:tcPr>
            <w:tcW w:w="178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98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783"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废棉纱</w:t>
            </w:r>
          </w:p>
        </w:tc>
        <w:tc>
          <w:tcPr>
            <w:tcW w:w="178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98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职工生活</w:t>
            </w:r>
          </w:p>
        </w:tc>
        <w:tc>
          <w:tcPr>
            <w:tcW w:w="7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生活垃圾</w:t>
            </w:r>
          </w:p>
        </w:tc>
        <w:tc>
          <w:tcPr>
            <w:tcW w:w="178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经收集后送环卫部门指定地点处置</w:t>
            </w:r>
          </w:p>
        </w:tc>
        <w:tc>
          <w:tcPr>
            <w:tcW w:w="9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default" w:ascii="Times New Roman" w:hAnsi="Times New Roman" w:cs="Times New Roman"/>
                <w:color w:val="auto"/>
                <w:sz w:val="24"/>
                <w:szCs w:val="24"/>
                <w:highlight w:val="none"/>
              </w:rPr>
              <w:t>环卫部门管理要求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8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电磁辐射</w:t>
            </w:r>
          </w:p>
        </w:tc>
        <w:tc>
          <w:tcPr>
            <w:tcW w:w="4317"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2" w:hRule="atLeast"/>
          <w:jc w:val="center"/>
        </w:trPr>
        <w:tc>
          <w:tcPr>
            <w:tcW w:w="68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土壤及地下水污染防治措施</w:t>
            </w:r>
          </w:p>
        </w:tc>
        <w:tc>
          <w:tcPr>
            <w:tcW w:w="4317"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olor w:val="auto"/>
                <w:sz w:val="24"/>
                <w:szCs w:val="32"/>
                <w:highlight w:val="none"/>
                <w:lang w:eastAsia="zh-CN"/>
              </w:rPr>
            </w:pPr>
            <w:r>
              <w:rPr>
                <w:rFonts w:hint="eastAsia"/>
                <w:color w:val="auto"/>
                <w:sz w:val="24"/>
                <w:szCs w:val="32"/>
                <w:highlight w:val="none"/>
                <w:lang w:eastAsia="zh-CN"/>
              </w:rPr>
              <w:t>①加强设备运行维护管理，减少跑冒滴漏事故产生；</w:t>
            </w:r>
          </w:p>
          <w:p>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both"/>
              <w:textAlignment w:val="auto"/>
              <w:rPr>
                <w:rFonts w:hint="eastAsia"/>
                <w:color w:val="auto"/>
                <w:sz w:val="24"/>
                <w:szCs w:val="32"/>
                <w:highlight w:val="none"/>
                <w:lang w:eastAsia="zh-CN"/>
              </w:rPr>
            </w:pPr>
            <w:r>
              <w:rPr>
                <w:rFonts w:hint="eastAsia"/>
                <w:color w:val="auto"/>
                <w:sz w:val="24"/>
                <w:szCs w:val="32"/>
                <w:highlight w:val="none"/>
                <w:lang w:eastAsia="zh-CN"/>
              </w:rPr>
              <w:t>②加强污染防治措施运行管理，保证污染物达标排放；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olor w:val="auto"/>
                <w:sz w:val="24"/>
                <w:szCs w:val="32"/>
                <w:highlight w:val="none"/>
                <w:lang w:eastAsia="zh-CN"/>
              </w:rPr>
            </w:pPr>
            <w:r>
              <w:rPr>
                <w:rFonts w:hint="eastAsia"/>
                <w:color w:val="auto"/>
                <w:sz w:val="24"/>
                <w:szCs w:val="32"/>
                <w:highlight w:val="none"/>
                <w:lang w:eastAsia="zh-CN"/>
              </w:rPr>
              <w:t>③加强厂区内废水沉淀池、危废暂存间等构筑物的防渗措施；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68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生态保护措施</w:t>
            </w:r>
          </w:p>
        </w:tc>
        <w:tc>
          <w:tcPr>
            <w:tcW w:w="4317"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加强污染防治措施运行管理，保证污染物达标排放；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加强厂区硬化、绿化措施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5" w:hRule="atLeast"/>
          <w:jc w:val="center"/>
        </w:trPr>
        <w:tc>
          <w:tcPr>
            <w:tcW w:w="68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环境风险</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pacing w:val="-8"/>
                <w:sz w:val="24"/>
                <w:szCs w:val="24"/>
                <w:highlight w:val="none"/>
              </w:rPr>
            </w:pPr>
            <w:r>
              <w:rPr>
                <w:rFonts w:hint="eastAsia" w:ascii="宋体" w:hAnsi="宋体" w:cs="宋体"/>
                <w:color w:val="auto"/>
                <w:spacing w:val="-8"/>
                <w:sz w:val="24"/>
                <w:szCs w:val="24"/>
                <w:highlight w:val="none"/>
              </w:rPr>
              <w:t>防范措施</w:t>
            </w:r>
          </w:p>
        </w:tc>
        <w:tc>
          <w:tcPr>
            <w:tcW w:w="4317"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①加强安全管理，提高员工的安全管理操作意识；</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②加强对设备或设施的维护管理，避免设备故障，一旦发现要及时检修；</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③设置</w:t>
            </w:r>
            <w:r>
              <w:rPr>
                <w:rFonts w:hint="eastAsia" w:ascii="宋体" w:hAnsi="宋体" w:cs="宋体"/>
                <w:color w:val="auto"/>
                <w:sz w:val="24"/>
                <w:szCs w:val="24"/>
                <w:highlight w:val="none"/>
                <w:lang w:val="en-US" w:eastAsia="zh-CN"/>
              </w:rPr>
              <w:t>废水收集</w:t>
            </w:r>
            <w:r>
              <w:rPr>
                <w:rFonts w:hint="eastAsia" w:ascii="宋体" w:hAnsi="宋体" w:cs="宋体"/>
                <w:color w:val="auto"/>
                <w:sz w:val="24"/>
                <w:szCs w:val="24"/>
                <w:highlight w:val="none"/>
              </w:rPr>
              <w:t>池，确保废水不外排；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④严格按照《危险废物贮存污染控制标准》要求建设危废暂存间，对地面进行防渗，设置围堰等；</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⑤盛装危险废物的容器材质和衬里要与危险废物相容（不相互反应）；容器外应贴上危险废物标签等警示标志，并对包装容器进行定期检查；</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⑥及时交</w:t>
            </w:r>
            <w:r>
              <w:rPr>
                <w:rFonts w:hint="eastAsia" w:ascii="宋体" w:hAnsi="宋体" w:cs="宋体"/>
                <w:color w:val="auto"/>
                <w:sz w:val="24"/>
                <w:szCs w:val="24"/>
                <w:highlight w:val="none"/>
                <w:lang w:val="en-US" w:eastAsia="zh-CN"/>
              </w:rPr>
              <w:t>由</w:t>
            </w:r>
            <w:r>
              <w:rPr>
                <w:rFonts w:hint="eastAsia" w:ascii="宋体" w:hAnsi="宋体" w:cs="宋体"/>
                <w:color w:val="auto"/>
                <w:sz w:val="24"/>
                <w:szCs w:val="24"/>
                <w:highlight w:val="none"/>
              </w:rPr>
              <w:t>有资质单位处置，避免厂内长期存放。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2" w:hRule="atLeast"/>
          <w:jc w:val="center"/>
        </w:trPr>
        <w:tc>
          <w:tcPr>
            <w:tcW w:w="68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其他环境</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pacing w:val="-8"/>
                <w:sz w:val="24"/>
                <w:szCs w:val="24"/>
                <w:highlight w:val="none"/>
              </w:rPr>
            </w:pPr>
            <w:r>
              <w:rPr>
                <w:rFonts w:hint="eastAsia" w:ascii="宋体" w:hAnsi="宋体" w:cs="宋体"/>
                <w:color w:val="auto"/>
                <w:spacing w:val="-8"/>
                <w:sz w:val="24"/>
                <w:szCs w:val="24"/>
                <w:highlight w:val="none"/>
              </w:rPr>
              <w:t>管理要求</w:t>
            </w:r>
          </w:p>
        </w:tc>
        <w:tc>
          <w:tcPr>
            <w:tcW w:w="4317"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lang w:eastAsia="zh-CN"/>
              </w:rPr>
            </w:pP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lang w:eastAsia="zh-CN"/>
              </w:rPr>
            </w:pP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lang w:eastAsia="zh-CN"/>
              </w:rPr>
            </w:pP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lang w:eastAsia="zh-CN"/>
              </w:rPr>
            </w:pPr>
          </w:p>
          <w:p>
            <w:pPr>
              <w:pStyle w:val="22"/>
              <w:rPr>
                <w:rFonts w:hint="eastAsia"/>
                <w:color w:val="auto"/>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无</w:t>
            </w: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p>
            <w:pPr>
              <w:pStyle w:val="22"/>
              <w:rPr>
                <w:rFonts w:hint="eastAsia"/>
                <w:color w:val="auto"/>
                <w:highlight w:val="none"/>
                <w:lang w:eastAsia="zh-CN"/>
              </w:rPr>
            </w:pPr>
          </w:p>
        </w:tc>
      </w:tr>
    </w:tbl>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cs="Times New Roman"/>
          <w:snapToGrid w:val="0"/>
          <w:color w:val="auto"/>
          <w:sz w:val="32"/>
          <w:szCs w:val="32"/>
          <w:highlight w:val="none"/>
        </w:rPr>
        <w:t>六、结论</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57"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szCs w:val="24"/>
                <w:highlight w:val="none"/>
              </w:rPr>
            </w:pPr>
            <w:r>
              <w:rPr>
                <w:rFonts w:hint="eastAsia" w:cs="Times New Roman"/>
                <w:b/>
                <w:bCs/>
                <w:color w:val="auto"/>
                <w:sz w:val="24"/>
                <w:szCs w:val="24"/>
                <w:highlight w:val="none"/>
                <w:lang w:eastAsia="zh-CN"/>
              </w:rPr>
              <w:t>综上所述，繁峙县新安建材加工厂年产 3500万平方米石膏线条生产线建设项目位于繁峙县大营镇固庄村西</w:t>
            </w:r>
            <w:r>
              <w:rPr>
                <w:rFonts w:hint="eastAsia"/>
                <w:b/>
                <w:bCs/>
                <w:color w:val="auto"/>
                <w:sz w:val="24"/>
                <w:szCs w:val="24"/>
                <w:highlight w:val="none"/>
                <w:lang w:eastAsia="zh-CN"/>
              </w:rPr>
              <w:t>，周边不涉及环境敏感目标，无重大环境制约因素。项目建设符合国家及地方产业政策，符合相关规划要求，</w:t>
            </w:r>
            <w:r>
              <w:rPr>
                <w:rFonts w:hint="default" w:ascii="Times New Roman" w:hAnsi="Times New Roman" w:cs="Times New Roman"/>
                <w:b/>
                <w:bCs/>
                <w:color w:val="auto"/>
                <w:sz w:val="24"/>
                <w:szCs w:val="24"/>
                <w:highlight w:val="none"/>
              </w:rPr>
              <w:t>在严格采取环评规定的环保措施后，各污染源可以稳定达标排放，</w:t>
            </w:r>
            <w:r>
              <w:rPr>
                <w:rFonts w:hint="eastAsia" w:cs="Times New Roman"/>
                <w:b/>
                <w:bCs/>
                <w:color w:val="auto"/>
                <w:sz w:val="24"/>
                <w:szCs w:val="24"/>
                <w:highlight w:val="none"/>
                <w:lang w:eastAsia="zh-CN"/>
              </w:rPr>
              <w:t>对区域各环境因素影响较小。因此，</w:t>
            </w:r>
            <w:r>
              <w:rPr>
                <w:rFonts w:hint="default" w:ascii="Times New Roman" w:hAnsi="Times New Roman" w:cs="Times New Roman"/>
                <w:b/>
                <w:bCs/>
                <w:color w:val="auto"/>
                <w:sz w:val="24"/>
                <w:szCs w:val="24"/>
                <w:highlight w:val="none"/>
              </w:rPr>
              <w:t>从满足环境质量目标角度，本项目的建设是可行的。</w:t>
            </w:r>
          </w:p>
          <w:p>
            <w:pPr>
              <w:spacing w:line="360" w:lineRule="auto"/>
              <w:rPr>
                <w:rFonts w:hint="eastAsia" w:ascii="宋体" w:eastAsia="宋体" w:cs="宋体"/>
                <w:color w:val="auto"/>
                <w:sz w:val="24"/>
                <w:highlight w:val="none"/>
                <w:lang w:eastAsia="zh-CN"/>
              </w:rPr>
            </w:pPr>
          </w:p>
          <w:p>
            <w:pPr>
              <w:pStyle w:val="22"/>
              <w:rPr>
                <w:rFonts w:hint="eastAsia"/>
                <w:color w:val="auto"/>
                <w:highlight w:val="none"/>
                <w:lang w:eastAsia="zh-CN"/>
              </w:rPr>
            </w:pPr>
          </w:p>
        </w:tc>
      </w:tr>
    </w:tbl>
    <w:p>
      <w:pPr>
        <w:rPr>
          <w:rFonts w:ascii="宋体"/>
          <w:color w:val="auto"/>
          <w:highlight w:val="none"/>
        </w:rPr>
        <w:sectPr>
          <w:pgSz w:w="11906" w:h="16838"/>
          <w:pgMar w:top="1701" w:right="1417" w:bottom="1701" w:left="1417"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335"/>
        <w:gridCol w:w="1635"/>
        <w:gridCol w:w="1410"/>
        <w:gridCol w:w="1695"/>
        <w:gridCol w:w="1530"/>
        <w:gridCol w:w="1560"/>
        <w:gridCol w:w="2025"/>
        <w:gridCol w:w="12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29" w:type="dxa"/>
            <w:tcBorders>
              <w:tl2br w:val="single" w:color="auto" w:sz="4" w:space="0"/>
            </w:tcBorders>
            <w:noWrap w:val="0"/>
            <w:tcMar>
              <w:left w:w="28" w:type="dxa"/>
              <w:right w:w="28" w:type="dxa"/>
            </w:tcMar>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right"/>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项目</w:t>
            </w:r>
          </w:p>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left"/>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分类</w:t>
            </w:r>
          </w:p>
        </w:tc>
        <w:tc>
          <w:tcPr>
            <w:tcW w:w="1335" w:type="dxa"/>
            <w:noWrap w:val="0"/>
            <w:tcMar>
              <w:left w:w="28" w:type="dxa"/>
              <w:right w:w="28" w:type="dxa"/>
            </w:tcMar>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污染物名称</w:t>
            </w:r>
          </w:p>
        </w:tc>
        <w:tc>
          <w:tcPr>
            <w:tcW w:w="1635" w:type="dxa"/>
            <w:noWrap w:val="0"/>
            <w:tcMar>
              <w:left w:w="28" w:type="dxa"/>
              <w:right w:w="28" w:type="dxa"/>
            </w:tcMar>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1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①</w:t>
            </w:r>
            <w:r>
              <w:rPr>
                <w:rFonts w:hint="default" w:ascii="Times New Roman" w:hAnsi="Times New Roman" w:eastAsia="黑体" w:cs="Times New Roman"/>
                <w:snapToGrid w:val="0"/>
                <w:color w:val="auto"/>
                <w:spacing w:val="-6"/>
                <w:kern w:val="21"/>
                <w:szCs w:val="21"/>
                <w:highlight w:val="none"/>
              </w:rPr>
              <w:fldChar w:fldCharType="end"/>
            </w:r>
          </w:p>
        </w:tc>
        <w:tc>
          <w:tcPr>
            <w:tcW w:w="1410" w:type="dxa"/>
            <w:noWrap w:val="0"/>
            <w:tcMar>
              <w:left w:w="28" w:type="dxa"/>
              <w:right w:w="28" w:type="dxa"/>
            </w:tcMar>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许可排放量</w:t>
            </w:r>
          </w:p>
          <w:p>
            <w:pPr>
              <w:pStyle w:val="33"/>
              <w:keepNext w:val="0"/>
              <w:keepLines w:val="0"/>
              <w:pageBreakBefore w:val="0"/>
              <w:widowControl w:val="0"/>
              <w:kinsoku/>
              <w:wordWrap/>
              <w:overflowPunct/>
              <w:topLinePunct w:val="0"/>
              <w:autoSpaceDE/>
              <w:autoSpaceDN/>
              <w:bidi w:val="0"/>
              <w:adjustRightInd w:val="0"/>
              <w:snapToGrid w:val="0"/>
              <w:spacing w:beforeLines="0" w:afterLines="0"/>
              <w:ind w:firstLine="0" w:firstLineChars="0"/>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2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snapToGrid w:val="0"/>
                <w:color w:val="auto"/>
                <w:spacing w:val="-6"/>
                <w:kern w:val="21"/>
                <w:szCs w:val="21"/>
                <w:highlight w:val="none"/>
              </w:rPr>
              <w:t>②</w:t>
            </w:r>
            <w:r>
              <w:rPr>
                <w:rFonts w:hint="default" w:ascii="Times New Roman" w:hAnsi="Times New Roman" w:eastAsia="黑体" w:cs="Times New Roman"/>
                <w:snapToGrid w:val="0"/>
                <w:color w:val="auto"/>
                <w:spacing w:val="-6"/>
                <w:kern w:val="21"/>
                <w:szCs w:val="21"/>
                <w:highlight w:val="none"/>
              </w:rPr>
              <w:fldChar w:fldCharType="end"/>
            </w:r>
          </w:p>
        </w:tc>
        <w:tc>
          <w:tcPr>
            <w:tcW w:w="1695" w:type="dxa"/>
            <w:noWrap w:val="0"/>
            <w:tcMar>
              <w:left w:w="28" w:type="dxa"/>
              <w:right w:w="28" w:type="dxa"/>
            </w:tcMar>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在建工程</w:t>
            </w:r>
          </w:p>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3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③</w:t>
            </w:r>
            <w:r>
              <w:rPr>
                <w:rFonts w:hint="default" w:ascii="Times New Roman" w:hAnsi="Times New Roman" w:eastAsia="黑体" w:cs="Times New Roman"/>
                <w:snapToGrid w:val="0"/>
                <w:color w:val="auto"/>
                <w:spacing w:val="-6"/>
                <w:kern w:val="21"/>
                <w:szCs w:val="21"/>
                <w:highlight w:val="none"/>
              </w:rPr>
              <w:fldChar w:fldCharType="end"/>
            </w:r>
          </w:p>
        </w:tc>
        <w:tc>
          <w:tcPr>
            <w:tcW w:w="1530" w:type="dxa"/>
            <w:noWrap w:val="0"/>
            <w:tcMar>
              <w:left w:w="28" w:type="dxa"/>
              <w:right w:w="28" w:type="dxa"/>
            </w:tcMar>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本项目</w:t>
            </w:r>
          </w:p>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4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④</w:t>
            </w:r>
            <w:r>
              <w:rPr>
                <w:rFonts w:hint="default" w:ascii="Times New Roman" w:hAnsi="Times New Roman" w:eastAsia="黑体" w:cs="Times New Roman"/>
                <w:snapToGrid w:val="0"/>
                <w:color w:val="auto"/>
                <w:spacing w:val="-6"/>
                <w:kern w:val="21"/>
                <w:szCs w:val="21"/>
                <w:highlight w:val="none"/>
              </w:rPr>
              <w:fldChar w:fldCharType="end"/>
            </w:r>
          </w:p>
        </w:tc>
        <w:tc>
          <w:tcPr>
            <w:tcW w:w="1560" w:type="dxa"/>
            <w:noWrap w:val="0"/>
            <w:tcMar>
              <w:left w:w="28" w:type="dxa"/>
              <w:right w:w="28" w:type="dxa"/>
            </w:tcMar>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以新带老削减量</w:t>
            </w:r>
          </w:p>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（新建项目不填）</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5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⑤</w:t>
            </w:r>
            <w:r>
              <w:rPr>
                <w:rFonts w:hint="default" w:ascii="Times New Roman" w:hAnsi="Times New Roman" w:eastAsia="黑体" w:cs="Times New Roman"/>
                <w:snapToGrid w:val="0"/>
                <w:color w:val="auto"/>
                <w:spacing w:val="-16"/>
                <w:kern w:val="21"/>
                <w:szCs w:val="21"/>
                <w:highlight w:val="none"/>
              </w:rPr>
              <w:fldChar w:fldCharType="end"/>
            </w:r>
          </w:p>
        </w:tc>
        <w:tc>
          <w:tcPr>
            <w:tcW w:w="2025" w:type="dxa"/>
            <w:noWrap w:val="0"/>
            <w:tcMar>
              <w:left w:w="28" w:type="dxa"/>
              <w:right w:w="28" w:type="dxa"/>
            </w:tcMar>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本项目建成后</w:t>
            </w:r>
          </w:p>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全厂排放量（固体废物产生量）</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6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⑥</w:t>
            </w:r>
            <w:r>
              <w:rPr>
                <w:rFonts w:hint="default" w:ascii="Times New Roman" w:hAnsi="Times New Roman" w:eastAsia="黑体" w:cs="Times New Roman"/>
                <w:snapToGrid w:val="0"/>
                <w:color w:val="auto"/>
                <w:spacing w:val="-16"/>
                <w:kern w:val="21"/>
                <w:szCs w:val="21"/>
                <w:highlight w:val="none"/>
              </w:rPr>
              <w:fldChar w:fldCharType="end"/>
            </w:r>
          </w:p>
        </w:tc>
        <w:tc>
          <w:tcPr>
            <w:tcW w:w="1269" w:type="dxa"/>
            <w:noWrap w:val="0"/>
            <w:tcMar>
              <w:left w:w="28" w:type="dxa"/>
              <w:right w:w="28" w:type="dxa"/>
            </w:tcMar>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变化量</w:t>
            </w:r>
          </w:p>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7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⑦</w:t>
            </w:r>
            <w:r>
              <w:rPr>
                <w:rFonts w:hint="default" w:ascii="Times New Roman" w:hAnsi="Times New Roman" w:eastAsia="黑体" w:cs="Times New Roman"/>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restart"/>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废气</w:t>
            </w:r>
          </w:p>
        </w:tc>
        <w:tc>
          <w:tcPr>
            <w:tcW w:w="13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eastAsia="zh-CN"/>
              </w:rPr>
            </w:pPr>
            <w:r>
              <w:rPr>
                <w:rFonts w:hint="default" w:ascii="Times New Roman" w:hAnsi="Times New Roman" w:cs="Times New Roman"/>
                <w:snapToGrid w:val="0"/>
                <w:color w:val="auto"/>
                <w:kern w:val="21"/>
                <w:szCs w:val="21"/>
                <w:highlight w:val="none"/>
                <w:lang w:eastAsia="zh-CN"/>
              </w:rPr>
              <w:t>粉尘</w:t>
            </w:r>
          </w:p>
        </w:tc>
        <w:tc>
          <w:tcPr>
            <w:tcW w:w="16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41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69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53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0.48</w:t>
            </w:r>
            <w:r>
              <w:rPr>
                <w:rFonts w:hint="default" w:ascii="Times New Roman" w:hAnsi="Times New Roman" w:cs="Times New Roman"/>
                <w:snapToGrid w:val="0"/>
                <w:color w:val="auto"/>
                <w:kern w:val="21"/>
                <w:szCs w:val="21"/>
                <w:highlight w:val="none"/>
                <w:lang w:val="en-US" w:eastAsia="zh-CN"/>
              </w:rPr>
              <w:t>t/a</w:t>
            </w:r>
          </w:p>
        </w:tc>
        <w:tc>
          <w:tcPr>
            <w:tcW w:w="156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202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0.48</w:t>
            </w:r>
            <w:r>
              <w:rPr>
                <w:rFonts w:hint="default" w:ascii="Times New Roman" w:hAnsi="Times New Roman" w:cs="Times New Roman"/>
                <w:snapToGrid w:val="0"/>
                <w:color w:val="auto"/>
                <w:kern w:val="21"/>
                <w:szCs w:val="21"/>
                <w:highlight w:val="none"/>
                <w:lang w:val="en-US" w:eastAsia="zh-CN"/>
              </w:rPr>
              <w:t>t/a</w:t>
            </w:r>
          </w:p>
        </w:tc>
        <w:tc>
          <w:tcPr>
            <w:tcW w:w="1269"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r>
              <w:rPr>
                <w:rFonts w:hint="eastAsia" w:ascii="Times New Roman" w:hAnsi="Times New Roman" w:cs="Times New Roman"/>
                <w:snapToGrid w:val="0"/>
                <w:color w:val="auto"/>
                <w:kern w:val="21"/>
                <w:szCs w:val="21"/>
                <w:highlight w:val="none"/>
                <w:lang w:val="en-US" w:eastAsia="zh-CN"/>
              </w:rPr>
              <w:t>0.48</w:t>
            </w:r>
            <w:r>
              <w:rPr>
                <w:rFonts w:hint="default" w:ascii="Times New Roman" w:hAnsi="Times New Roman" w:cs="Times New Roman"/>
                <w:snapToGrid w:val="0"/>
                <w:color w:val="auto"/>
                <w:kern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continue"/>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3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6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41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69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53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56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202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269"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restart"/>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废水</w:t>
            </w:r>
          </w:p>
        </w:tc>
        <w:tc>
          <w:tcPr>
            <w:tcW w:w="13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eastAsia="zh-CN"/>
              </w:rPr>
            </w:pPr>
            <w:r>
              <w:rPr>
                <w:rFonts w:hint="default" w:ascii="Times New Roman" w:hAnsi="Times New Roman" w:cs="Times New Roman"/>
                <w:snapToGrid w:val="0"/>
                <w:color w:val="auto"/>
                <w:kern w:val="21"/>
                <w:szCs w:val="21"/>
                <w:highlight w:val="none"/>
                <w:lang w:eastAsia="zh-CN"/>
              </w:rPr>
              <w:t>废水量</w:t>
            </w:r>
          </w:p>
        </w:tc>
        <w:tc>
          <w:tcPr>
            <w:tcW w:w="16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41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69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53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56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202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269"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continue"/>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3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6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41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69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53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56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202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269"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restart"/>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一般工业</w:t>
            </w:r>
          </w:p>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固体废物</w:t>
            </w:r>
          </w:p>
        </w:tc>
        <w:tc>
          <w:tcPr>
            <w:tcW w:w="13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Cs w:val="21"/>
                <w:highlight w:val="none"/>
                <w:lang w:val="en-US" w:eastAsia="zh-CN"/>
              </w:rPr>
              <w:t>废包材材料</w:t>
            </w:r>
          </w:p>
        </w:tc>
        <w:tc>
          <w:tcPr>
            <w:tcW w:w="16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141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169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153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Cs w:val="21"/>
                <w:highlight w:val="none"/>
                <w:lang w:val="en-US" w:eastAsia="zh-CN"/>
              </w:rPr>
              <w:t>2.0</w:t>
            </w:r>
            <w:r>
              <w:rPr>
                <w:rFonts w:hint="default" w:ascii="Times New Roman" w:hAnsi="Times New Roman" w:cs="Times New Roman"/>
                <w:snapToGrid w:val="0"/>
                <w:color w:val="auto"/>
                <w:kern w:val="21"/>
                <w:szCs w:val="21"/>
                <w:highlight w:val="none"/>
                <w:lang w:val="en-US" w:eastAsia="zh-CN"/>
              </w:rPr>
              <w:t>t/a</w:t>
            </w:r>
          </w:p>
        </w:tc>
        <w:tc>
          <w:tcPr>
            <w:tcW w:w="156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202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Cs w:val="21"/>
                <w:highlight w:val="none"/>
                <w:lang w:val="en-US" w:eastAsia="zh-CN"/>
              </w:rPr>
              <w:t>2.0</w:t>
            </w:r>
            <w:r>
              <w:rPr>
                <w:rFonts w:hint="default" w:ascii="Times New Roman" w:hAnsi="Times New Roman" w:cs="Times New Roman"/>
                <w:snapToGrid w:val="0"/>
                <w:color w:val="auto"/>
                <w:kern w:val="21"/>
                <w:szCs w:val="21"/>
                <w:highlight w:val="none"/>
                <w:lang w:val="en-US" w:eastAsia="zh-CN"/>
              </w:rPr>
              <w:t>t/a</w:t>
            </w:r>
          </w:p>
        </w:tc>
        <w:tc>
          <w:tcPr>
            <w:tcW w:w="1269"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r>
              <w:rPr>
                <w:rFonts w:hint="eastAsia" w:ascii="Times New Roman" w:hAnsi="Times New Roman" w:cs="Times New Roman"/>
                <w:snapToGrid w:val="0"/>
                <w:color w:val="auto"/>
                <w:kern w:val="21"/>
                <w:szCs w:val="21"/>
                <w:highlight w:val="none"/>
                <w:lang w:val="en-US" w:eastAsia="zh-CN"/>
              </w:rPr>
              <w:t>2.0</w:t>
            </w:r>
            <w:r>
              <w:rPr>
                <w:rFonts w:hint="default" w:ascii="Times New Roman" w:hAnsi="Times New Roman" w:cs="Times New Roman"/>
                <w:snapToGrid w:val="0"/>
                <w:color w:val="auto"/>
                <w:kern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continue"/>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3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不合格品</w:t>
            </w:r>
          </w:p>
        </w:tc>
        <w:tc>
          <w:tcPr>
            <w:tcW w:w="16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w:t>
            </w:r>
          </w:p>
        </w:tc>
        <w:tc>
          <w:tcPr>
            <w:tcW w:w="141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w:t>
            </w:r>
          </w:p>
        </w:tc>
        <w:tc>
          <w:tcPr>
            <w:tcW w:w="169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w:t>
            </w:r>
          </w:p>
        </w:tc>
        <w:tc>
          <w:tcPr>
            <w:tcW w:w="153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Cs w:val="21"/>
                <w:highlight w:val="none"/>
                <w:lang w:val="en-US" w:eastAsia="zh-CN"/>
              </w:rPr>
              <w:t>1.75</w:t>
            </w:r>
            <w:r>
              <w:rPr>
                <w:rFonts w:hint="default" w:ascii="Times New Roman" w:hAnsi="Times New Roman" w:cs="Times New Roman"/>
                <w:snapToGrid w:val="0"/>
                <w:color w:val="auto"/>
                <w:kern w:val="21"/>
                <w:szCs w:val="21"/>
                <w:highlight w:val="none"/>
                <w:lang w:val="en-US" w:eastAsia="zh-CN"/>
              </w:rPr>
              <w:t>t/a</w:t>
            </w:r>
          </w:p>
        </w:tc>
        <w:tc>
          <w:tcPr>
            <w:tcW w:w="156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202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Cs w:val="21"/>
                <w:highlight w:val="none"/>
                <w:lang w:val="en-US" w:eastAsia="zh-CN"/>
              </w:rPr>
              <w:t>1.75</w:t>
            </w:r>
            <w:r>
              <w:rPr>
                <w:rFonts w:hint="default" w:ascii="Times New Roman" w:hAnsi="Times New Roman" w:cs="Times New Roman"/>
                <w:snapToGrid w:val="0"/>
                <w:color w:val="auto"/>
                <w:kern w:val="21"/>
                <w:szCs w:val="21"/>
                <w:highlight w:val="none"/>
                <w:lang w:val="en-US" w:eastAsia="zh-CN"/>
              </w:rPr>
              <w:t>t/a</w:t>
            </w:r>
          </w:p>
        </w:tc>
        <w:tc>
          <w:tcPr>
            <w:tcW w:w="1269"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r>
              <w:rPr>
                <w:rFonts w:hint="eastAsia" w:ascii="Times New Roman" w:hAnsi="Times New Roman" w:cs="Times New Roman"/>
                <w:snapToGrid w:val="0"/>
                <w:color w:val="auto"/>
                <w:kern w:val="21"/>
                <w:szCs w:val="21"/>
                <w:highlight w:val="none"/>
                <w:lang w:val="en-US" w:eastAsia="zh-CN"/>
              </w:rPr>
              <w:t>1.75</w:t>
            </w:r>
            <w:r>
              <w:rPr>
                <w:rFonts w:hint="default" w:ascii="Times New Roman" w:hAnsi="Times New Roman" w:cs="Times New Roman"/>
                <w:snapToGrid w:val="0"/>
                <w:color w:val="auto"/>
                <w:kern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continue"/>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3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eastAsia="zh-CN"/>
              </w:rPr>
              <w:t>除尘灰</w:t>
            </w:r>
          </w:p>
        </w:tc>
        <w:tc>
          <w:tcPr>
            <w:tcW w:w="16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141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169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153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Cs w:val="21"/>
                <w:highlight w:val="none"/>
                <w:lang w:val="en-US" w:eastAsia="zh-CN"/>
              </w:rPr>
              <w:t>50</w:t>
            </w:r>
            <w:r>
              <w:rPr>
                <w:rFonts w:hint="default" w:ascii="Times New Roman" w:hAnsi="Times New Roman" w:cs="Times New Roman"/>
                <w:snapToGrid w:val="0"/>
                <w:color w:val="auto"/>
                <w:kern w:val="21"/>
                <w:szCs w:val="21"/>
                <w:highlight w:val="none"/>
                <w:lang w:val="en-US" w:eastAsia="zh-CN"/>
              </w:rPr>
              <w:t>t/a</w:t>
            </w:r>
          </w:p>
        </w:tc>
        <w:tc>
          <w:tcPr>
            <w:tcW w:w="156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202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Cs w:val="21"/>
                <w:highlight w:val="none"/>
                <w:lang w:val="en-US" w:eastAsia="zh-CN"/>
              </w:rPr>
              <w:t>50</w:t>
            </w:r>
            <w:r>
              <w:rPr>
                <w:rFonts w:hint="default" w:ascii="Times New Roman" w:hAnsi="Times New Roman" w:cs="Times New Roman"/>
                <w:snapToGrid w:val="0"/>
                <w:color w:val="auto"/>
                <w:kern w:val="21"/>
                <w:szCs w:val="21"/>
                <w:highlight w:val="none"/>
                <w:lang w:val="en-US" w:eastAsia="zh-CN"/>
              </w:rPr>
              <w:t>t/a</w:t>
            </w:r>
          </w:p>
        </w:tc>
        <w:tc>
          <w:tcPr>
            <w:tcW w:w="1269"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r>
              <w:rPr>
                <w:rFonts w:hint="eastAsia" w:ascii="Times New Roman" w:hAnsi="Times New Roman" w:cs="Times New Roman"/>
                <w:snapToGrid w:val="0"/>
                <w:color w:val="auto"/>
                <w:kern w:val="21"/>
                <w:szCs w:val="21"/>
                <w:highlight w:val="none"/>
                <w:lang w:val="en-US" w:eastAsia="zh-CN"/>
              </w:rPr>
              <w:t>50</w:t>
            </w:r>
            <w:r>
              <w:rPr>
                <w:rFonts w:hint="default" w:ascii="Times New Roman" w:hAnsi="Times New Roman" w:cs="Times New Roman"/>
                <w:snapToGrid w:val="0"/>
                <w:color w:val="auto"/>
                <w:kern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continue"/>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3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eastAsia="zh-CN"/>
              </w:rPr>
              <w:t>生活垃圾</w:t>
            </w:r>
          </w:p>
        </w:tc>
        <w:tc>
          <w:tcPr>
            <w:tcW w:w="16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141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169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153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Cs w:val="21"/>
                <w:highlight w:val="none"/>
                <w:lang w:val="en-US" w:eastAsia="zh-CN"/>
              </w:rPr>
              <w:t>1.5</w:t>
            </w:r>
            <w:r>
              <w:rPr>
                <w:rFonts w:hint="default" w:ascii="Times New Roman" w:hAnsi="Times New Roman" w:cs="Times New Roman"/>
                <w:snapToGrid w:val="0"/>
                <w:color w:val="auto"/>
                <w:kern w:val="21"/>
                <w:szCs w:val="21"/>
                <w:highlight w:val="none"/>
                <w:lang w:val="en-US" w:eastAsia="zh-CN"/>
              </w:rPr>
              <w:t>t/a</w:t>
            </w:r>
          </w:p>
        </w:tc>
        <w:tc>
          <w:tcPr>
            <w:tcW w:w="156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202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Cs w:val="21"/>
                <w:highlight w:val="none"/>
                <w:lang w:val="en-US" w:eastAsia="zh-CN"/>
              </w:rPr>
              <w:t>1.5</w:t>
            </w:r>
            <w:r>
              <w:rPr>
                <w:rFonts w:hint="default" w:ascii="Times New Roman" w:hAnsi="Times New Roman" w:cs="Times New Roman"/>
                <w:snapToGrid w:val="0"/>
                <w:color w:val="auto"/>
                <w:kern w:val="21"/>
                <w:szCs w:val="21"/>
                <w:highlight w:val="none"/>
                <w:lang w:val="en-US" w:eastAsia="zh-CN"/>
              </w:rPr>
              <w:t>t/a</w:t>
            </w:r>
          </w:p>
        </w:tc>
        <w:tc>
          <w:tcPr>
            <w:tcW w:w="1269"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r>
              <w:rPr>
                <w:rFonts w:hint="eastAsia" w:ascii="Times New Roman" w:hAnsi="Times New Roman" w:cs="Times New Roman"/>
                <w:snapToGrid w:val="0"/>
                <w:color w:val="auto"/>
                <w:kern w:val="21"/>
                <w:szCs w:val="21"/>
                <w:highlight w:val="none"/>
                <w:lang w:val="en-US" w:eastAsia="zh-CN"/>
              </w:rPr>
              <w:t>1.5</w:t>
            </w:r>
            <w:r>
              <w:rPr>
                <w:rFonts w:hint="default" w:ascii="Times New Roman" w:hAnsi="Times New Roman" w:cs="Times New Roman"/>
                <w:snapToGrid w:val="0"/>
                <w:color w:val="auto"/>
                <w:kern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restart"/>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危险废物</w:t>
            </w:r>
          </w:p>
        </w:tc>
        <w:tc>
          <w:tcPr>
            <w:tcW w:w="13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eastAsia="zh-CN"/>
              </w:rPr>
            </w:pPr>
            <w:r>
              <w:rPr>
                <w:rFonts w:hint="default" w:ascii="Times New Roman" w:hAnsi="Times New Roman" w:cs="Times New Roman"/>
                <w:snapToGrid w:val="0"/>
                <w:color w:val="auto"/>
                <w:kern w:val="21"/>
                <w:szCs w:val="21"/>
                <w:highlight w:val="none"/>
                <w:lang w:eastAsia="zh-CN"/>
              </w:rPr>
              <w:t>废机油</w:t>
            </w:r>
          </w:p>
        </w:tc>
        <w:tc>
          <w:tcPr>
            <w:tcW w:w="16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41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69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53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0.0</w:t>
            </w:r>
            <w:r>
              <w:rPr>
                <w:rFonts w:hint="eastAsia" w:ascii="Times New Roman" w:hAnsi="Times New Roman" w:cs="Times New Roman"/>
                <w:snapToGrid w:val="0"/>
                <w:color w:val="auto"/>
                <w:kern w:val="21"/>
                <w:szCs w:val="21"/>
                <w:highlight w:val="none"/>
                <w:lang w:val="en-US" w:eastAsia="zh-CN"/>
              </w:rPr>
              <w:t>5</w:t>
            </w:r>
            <w:r>
              <w:rPr>
                <w:rFonts w:hint="default" w:ascii="Times New Roman" w:hAnsi="Times New Roman" w:cs="Times New Roman"/>
                <w:snapToGrid w:val="0"/>
                <w:color w:val="auto"/>
                <w:kern w:val="21"/>
                <w:szCs w:val="21"/>
                <w:highlight w:val="none"/>
                <w:lang w:val="en-US" w:eastAsia="zh-CN"/>
              </w:rPr>
              <w:t>t/a</w:t>
            </w:r>
          </w:p>
        </w:tc>
        <w:tc>
          <w:tcPr>
            <w:tcW w:w="156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202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0.0</w:t>
            </w:r>
            <w:r>
              <w:rPr>
                <w:rFonts w:hint="eastAsia" w:ascii="Times New Roman" w:hAnsi="Times New Roman" w:cs="Times New Roman"/>
                <w:snapToGrid w:val="0"/>
                <w:color w:val="auto"/>
                <w:kern w:val="21"/>
                <w:szCs w:val="21"/>
                <w:highlight w:val="none"/>
                <w:lang w:val="en-US" w:eastAsia="zh-CN"/>
              </w:rPr>
              <w:t>5</w:t>
            </w:r>
            <w:r>
              <w:rPr>
                <w:rFonts w:hint="default" w:ascii="Times New Roman" w:hAnsi="Times New Roman" w:cs="Times New Roman"/>
                <w:snapToGrid w:val="0"/>
                <w:color w:val="auto"/>
                <w:kern w:val="21"/>
                <w:szCs w:val="21"/>
                <w:highlight w:val="none"/>
                <w:lang w:val="en-US" w:eastAsia="zh-CN"/>
              </w:rPr>
              <w:t>t/a</w:t>
            </w:r>
          </w:p>
        </w:tc>
        <w:tc>
          <w:tcPr>
            <w:tcW w:w="1269"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+0.0</w:t>
            </w:r>
            <w:r>
              <w:rPr>
                <w:rFonts w:hint="eastAsia" w:ascii="Times New Roman" w:hAnsi="Times New Roman" w:cs="Times New Roman"/>
                <w:snapToGrid w:val="0"/>
                <w:color w:val="auto"/>
                <w:kern w:val="21"/>
                <w:szCs w:val="21"/>
                <w:highlight w:val="none"/>
                <w:lang w:val="en-US" w:eastAsia="zh-CN"/>
              </w:rPr>
              <w:t>5</w:t>
            </w:r>
            <w:r>
              <w:rPr>
                <w:rFonts w:hint="default" w:ascii="Times New Roman" w:hAnsi="Times New Roman" w:cs="Times New Roman"/>
                <w:snapToGrid w:val="0"/>
                <w:color w:val="auto"/>
                <w:kern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continue"/>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3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eastAsia="zh-CN"/>
              </w:rPr>
            </w:pPr>
            <w:r>
              <w:rPr>
                <w:rFonts w:hint="default" w:ascii="Times New Roman" w:hAnsi="Times New Roman" w:cs="Times New Roman"/>
                <w:snapToGrid w:val="0"/>
                <w:color w:val="auto"/>
                <w:kern w:val="21"/>
                <w:szCs w:val="21"/>
                <w:highlight w:val="none"/>
                <w:lang w:eastAsia="zh-CN"/>
              </w:rPr>
              <w:t>废包装桶</w:t>
            </w:r>
          </w:p>
        </w:tc>
        <w:tc>
          <w:tcPr>
            <w:tcW w:w="16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41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69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153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20</w:t>
            </w:r>
            <w:r>
              <w:rPr>
                <w:rFonts w:hint="default" w:ascii="Times New Roman" w:hAnsi="Times New Roman" w:cs="Times New Roman"/>
                <w:snapToGrid w:val="0"/>
                <w:color w:val="auto"/>
                <w:kern w:val="21"/>
                <w:szCs w:val="21"/>
                <w:highlight w:val="none"/>
                <w:lang w:val="en-US" w:eastAsia="zh-CN"/>
              </w:rPr>
              <w:t>个/年</w:t>
            </w:r>
          </w:p>
        </w:tc>
        <w:tc>
          <w:tcPr>
            <w:tcW w:w="156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202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Cs w:val="21"/>
                <w:highlight w:val="none"/>
                <w:lang w:val="en-US" w:eastAsia="zh-CN"/>
              </w:rPr>
              <w:t>20</w:t>
            </w:r>
            <w:r>
              <w:rPr>
                <w:rFonts w:hint="default" w:ascii="Times New Roman" w:hAnsi="Times New Roman" w:cs="Times New Roman"/>
                <w:snapToGrid w:val="0"/>
                <w:color w:val="auto"/>
                <w:kern w:val="21"/>
                <w:szCs w:val="21"/>
                <w:highlight w:val="none"/>
                <w:lang w:val="en-US" w:eastAsia="zh-CN"/>
              </w:rPr>
              <w:t>个/年</w:t>
            </w:r>
          </w:p>
        </w:tc>
        <w:tc>
          <w:tcPr>
            <w:tcW w:w="1269"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r>
              <w:rPr>
                <w:rFonts w:hint="eastAsia" w:ascii="Times New Roman" w:hAnsi="Times New Roman" w:cs="Times New Roman"/>
                <w:snapToGrid w:val="0"/>
                <w:color w:val="auto"/>
                <w:kern w:val="21"/>
                <w:szCs w:val="21"/>
                <w:highlight w:val="none"/>
                <w:lang w:val="en-US" w:eastAsia="zh-CN"/>
              </w:rPr>
              <w:t>20</w:t>
            </w:r>
            <w:r>
              <w:rPr>
                <w:rFonts w:hint="default" w:ascii="Times New Roman" w:hAnsi="Times New Roman" w:cs="Times New Roman"/>
                <w:snapToGrid w:val="0"/>
                <w:color w:val="auto"/>
                <w:kern w:val="21"/>
                <w:szCs w:val="21"/>
                <w:highlight w:val="none"/>
                <w:lang w:val="en-US" w:eastAsia="zh-CN"/>
              </w:rPr>
              <w:t>个/年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continue"/>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rPr>
            </w:pPr>
          </w:p>
        </w:tc>
        <w:tc>
          <w:tcPr>
            <w:tcW w:w="13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废棉纱</w:t>
            </w:r>
          </w:p>
        </w:tc>
        <w:tc>
          <w:tcPr>
            <w:tcW w:w="163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0</w:t>
            </w:r>
          </w:p>
        </w:tc>
        <w:tc>
          <w:tcPr>
            <w:tcW w:w="141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0</w:t>
            </w:r>
          </w:p>
        </w:tc>
        <w:tc>
          <w:tcPr>
            <w:tcW w:w="169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0</w:t>
            </w:r>
          </w:p>
        </w:tc>
        <w:tc>
          <w:tcPr>
            <w:tcW w:w="153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0.001t/a</w:t>
            </w:r>
          </w:p>
        </w:tc>
        <w:tc>
          <w:tcPr>
            <w:tcW w:w="1560"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0</w:t>
            </w:r>
          </w:p>
        </w:tc>
        <w:tc>
          <w:tcPr>
            <w:tcW w:w="2025"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0.0</w:t>
            </w:r>
            <w:r>
              <w:rPr>
                <w:rFonts w:hint="eastAsia" w:ascii="Times New Roman" w:hAnsi="Times New Roman" w:cs="Times New Roman"/>
                <w:snapToGrid w:val="0"/>
                <w:color w:val="auto"/>
                <w:kern w:val="21"/>
                <w:szCs w:val="21"/>
                <w:highlight w:val="none"/>
                <w:lang w:val="en-US" w:eastAsia="zh-CN"/>
              </w:rPr>
              <w:t>01</w:t>
            </w:r>
            <w:r>
              <w:rPr>
                <w:rFonts w:hint="default" w:ascii="Times New Roman" w:hAnsi="Times New Roman" w:cs="Times New Roman"/>
                <w:snapToGrid w:val="0"/>
                <w:color w:val="auto"/>
                <w:kern w:val="21"/>
                <w:szCs w:val="21"/>
                <w:highlight w:val="none"/>
                <w:lang w:val="en-US" w:eastAsia="zh-CN"/>
              </w:rPr>
              <w:t>t/a</w:t>
            </w:r>
          </w:p>
        </w:tc>
        <w:tc>
          <w:tcPr>
            <w:tcW w:w="1269" w:type="dxa"/>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+0.0</w:t>
            </w:r>
            <w:r>
              <w:rPr>
                <w:rFonts w:hint="eastAsia" w:ascii="Times New Roman" w:hAnsi="Times New Roman" w:cs="Times New Roman"/>
                <w:snapToGrid w:val="0"/>
                <w:color w:val="auto"/>
                <w:kern w:val="21"/>
                <w:szCs w:val="21"/>
                <w:highlight w:val="none"/>
                <w:lang w:val="en-US" w:eastAsia="zh-CN"/>
              </w:rPr>
              <w:t>01</w:t>
            </w:r>
            <w:r>
              <w:rPr>
                <w:rFonts w:hint="default" w:ascii="Times New Roman" w:hAnsi="Times New Roman" w:cs="Times New Roman"/>
                <w:snapToGrid w:val="0"/>
                <w:color w:val="auto"/>
                <w:kern w:val="21"/>
                <w:szCs w:val="21"/>
                <w:highlight w:val="none"/>
                <w:lang w:val="en-US" w:eastAsia="zh-CN"/>
              </w:rPr>
              <w:t>t/a</w:t>
            </w:r>
          </w:p>
        </w:tc>
      </w:tr>
    </w:tbl>
    <w:p>
      <w:pPr>
        <w:pStyle w:val="33"/>
        <w:spacing w:before="192" w:beforeLines="80" w:after="24"/>
        <w:jc w:val="left"/>
        <w:rPr>
          <w:rFonts w:hint="eastAsia"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pPr>
        <w:rPr>
          <w:rFonts w:hint="eastAsia"/>
          <w:color w:val="auto"/>
          <w:highlight w:val="none"/>
        </w:rPr>
      </w:pPr>
    </w:p>
    <w:p>
      <w:pPr>
        <w:rPr>
          <w:rFonts w:hint="eastAsia"/>
          <w:color w:val="auto"/>
          <w:highlight w:val="none"/>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lang w:eastAsia="zh-CN"/>
        </w:rPr>
      </w:pPr>
      <w:r>
        <w:rPr>
          <w:rFonts w:hint="eastAsia"/>
          <w:color w:val="auto"/>
          <w:highlight w:val="none"/>
          <w:lang w:eastAsia="zh-CN"/>
        </w:rPr>
        <w:drawing>
          <wp:inline distT="0" distB="0" distL="114300" distR="114300">
            <wp:extent cx="8747125" cy="6184265"/>
            <wp:effectExtent l="0" t="0" r="6985" b="15875"/>
            <wp:docPr id="1" name="图片 1" descr="26a15462496820c1f0ee5148a408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6a15462496820c1f0ee5148a408e45"/>
                    <pic:cNvPicPr>
                      <a:picLocks noChangeAspect="1"/>
                    </pic:cNvPicPr>
                  </pic:nvPicPr>
                  <pic:blipFill>
                    <a:blip r:embed="rId29"/>
                    <a:stretch>
                      <a:fillRect/>
                    </a:stretch>
                  </pic:blipFill>
                  <pic:spPr>
                    <a:xfrm rot="5400000">
                      <a:off x="0" y="0"/>
                      <a:ext cx="8747125" cy="6184265"/>
                    </a:xfrm>
                    <a:prstGeom prst="rect">
                      <a:avLst/>
                    </a:prstGeom>
                  </pic:spPr>
                </pic:pic>
              </a:graphicData>
            </a:graphic>
          </wp:inline>
        </w:drawing>
      </w:r>
    </w:p>
    <w:sectPr>
      <w:footerReference r:id="rId6" w:type="default"/>
      <w:pgSz w:w="11906" w:h="16838"/>
      <w:pgMar w:top="1134" w:right="1134" w:bottom="1440" w:left="1134"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TimesNewRomanPSMT">
    <w:altName w:val="Times New Roman"/>
    <w:panose1 w:val="00000000000000000000"/>
    <w:charset w:val="80"/>
    <w:family w:val="auto"/>
    <w:pitch w:val="default"/>
    <w:sig w:usb0="00000000" w:usb1="0000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jc w:val="both"/>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hint="default" w:ascii="Times New Roman" w:hAnsi="Times New Roman" w:cs="Times New Roman"/>
                              <w:sz w:val="21"/>
                              <w:szCs w:val="21"/>
                            </w:rPr>
                            <w:fldChar w:fldCharType="begin"/>
                          </w:r>
                          <w:r>
                            <w:rPr>
                              <w:rStyle w:val="28"/>
                              <w:rFonts w:hint="default" w:ascii="Times New Roman" w:hAnsi="Times New Roman" w:cs="Times New Roman"/>
                              <w:sz w:val="21"/>
                              <w:szCs w:val="21"/>
                            </w:rPr>
                            <w:instrText xml:space="preserve">PAGE  </w:instrText>
                          </w:r>
                          <w:r>
                            <w:rPr>
                              <w:rStyle w:val="28"/>
                              <w:rFonts w:hint="default" w:ascii="Times New Roman" w:hAnsi="Times New Roman" w:cs="Times New Roman"/>
                              <w:sz w:val="21"/>
                              <w:szCs w:val="21"/>
                            </w:rPr>
                            <w:fldChar w:fldCharType="separate"/>
                          </w:r>
                          <w:r>
                            <w:rPr>
                              <w:rStyle w:val="28"/>
                              <w:rFonts w:hint="default" w:ascii="Times New Roman" w:hAnsi="Times New Roman" w:cs="Times New Roman"/>
                              <w:sz w:val="21"/>
                              <w:szCs w:val="21"/>
                            </w:rPr>
                            <w:t>9</w:t>
                          </w:r>
                          <w:r>
                            <w:rPr>
                              <w:rStyle w:val="28"/>
                              <w:rFonts w:hint="default" w:ascii="Times New Roman" w:hAnsi="Times New Roman" w:cs="Times New Roman"/>
                              <w:sz w:val="21"/>
                              <w:szCs w:val="21"/>
                            </w:rPr>
                            <w:fldChar w:fldCharType="end"/>
                          </w:r>
                          <w:r>
                            <w:rPr>
                              <w:rStyle w:val="28"/>
                              <w:rFonts w:hint="default" w:ascii="Times New Roman" w:hAnsi="Times New Roman" w:cs="Times New Roman"/>
                              <w:sz w:val="21"/>
                              <w:szCs w:val="21"/>
                            </w:rPr>
                            <w:t xml:space="preserve"> </w:t>
                          </w:r>
                          <w:r>
                            <w:rPr>
                              <w:rStyle w:val="28"/>
                              <w:rFonts w:hint="eastAsia" w:ascii="宋体" w:hAnsi="宋体"/>
                              <w:sz w:val="20"/>
                            </w:rPr>
                            <w:t xml:space="preserve"> </w:t>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6"/>
                      <w:jc w:val="both"/>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hint="default" w:ascii="Times New Roman" w:hAnsi="Times New Roman" w:cs="Times New Roman"/>
                        <w:sz w:val="21"/>
                        <w:szCs w:val="21"/>
                      </w:rPr>
                      <w:fldChar w:fldCharType="begin"/>
                    </w:r>
                    <w:r>
                      <w:rPr>
                        <w:rStyle w:val="28"/>
                        <w:rFonts w:hint="default" w:ascii="Times New Roman" w:hAnsi="Times New Roman" w:cs="Times New Roman"/>
                        <w:sz w:val="21"/>
                        <w:szCs w:val="21"/>
                      </w:rPr>
                      <w:instrText xml:space="preserve">PAGE  </w:instrText>
                    </w:r>
                    <w:r>
                      <w:rPr>
                        <w:rStyle w:val="28"/>
                        <w:rFonts w:hint="default" w:ascii="Times New Roman" w:hAnsi="Times New Roman" w:cs="Times New Roman"/>
                        <w:sz w:val="21"/>
                        <w:szCs w:val="21"/>
                      </w:rPr>
                      <w:fldChar w:fldCharType="separate"/>
                    </w:r>
                    <w:r>
                      <w:rPr>
                        <w:rStyle w:val="28"/>
                        <w:rFonts w:hint="default" w:ascii="Times New Roman" w:hAnsi="Times New Roman" w:cs="Times New Roman"/>
                        <w:sz w:val="21"/>
                        <w:szCs w:val="21"/>
                      </w:rPr>
                      <w:t>9</w:t>
                    </w:r>
                    <w:r>
                      <w:rPr>
                        <w:rStyle w:val="28"/>
                        <w:rFonts w:hint="default" w:ascii="Times New Roman" w:hAnsi="Times New Roman" w:cs="Times New Roman"/>
                        <w:sz w:val="21"/>
                        <w:szCs w:val="21"/>
                      </w:rPr>
                      <w:fldChar w:fldCharType="end"/>
                    </w:r>
                    <w:r>
                      <w:rPr>
                        <w:rStyle w:val="28"/>
                        <w:rFonts w:hint="default" w:ascii="Times New Roman" w:hAnsi="Times New Roman" w:cs="Times New Roman"/>
                        <w:sz w:val="21"/>
                        <w:szCs w:val="21"/>
                      </w:rPr>
                      <w:t xml:space="preserve"> </w:t>
                    </w:r>
                    <w:r>
                      <w:rPr>
                        <w:rStyle w:val="28"/>
                        <w:rFonts w:hint="eastAsia" w:ascii="宋体" w:hAnsi="宋体"/>
                        <w:sz w:val="20"/>
                      </w:rPr>
                      <w:t xml:space="preserve"> </w:t>
                    </w:r>
                    <w:r>
                      <w:rPr>
                        <w:rStyle w:val="28"/>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10</w:t>
                          </w:r>
                          <w:r>
                            <w:rPr>
                              <w:rStyle w:val="28"/>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6"/>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10</w:t>
                    </w:r>
                    <w:r>
                      <w:rPr>
                        <w:rStyle w:val="28"/>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NzQ2OGM2NjhhODg4OWViMGMwMmNmOWMzOTYyMDUifQ=="/>
  </w:docVars>
  <w:rsids>
    <w:rsidRoot w:val="00000000"/>
    <w:rsid w:val="00A177D7"/>
    <w:rsid w:val="01B45DB1"/>
    <w:rsid w:val="01C60D0C"/>
    <w:rsid w:val="01E65D63"/>
    <w:rsid w:val="02806EB1"/>
    <w:rsid w:val="02DB5B0A"/>
    <w:rsid w:val="02FE32D7"/>
    <w:rsid w:val="033F326A"/>
    <w:rsid w:val="045B2DAA"/>
    <w:rsid w:val="048B31E8"/>
    <w:rsid w:val="04D7247B"/>
    <w:rsid w:val="04DC4E38"/>
    <w:rsid w:val="04F6304D"/>
    <w:rsid w:val="052D29BC"/>
    <w:rsid w:val="05F879EC"/>
    <w:rsid w:val="06015D15"/>
    <w:rsid w:val="060F5C00"/>
    <w:rsid w:val="0621215C"/>
    <w:rsid w:val="0633752A"/>
    <w:rsid w:val="069845E6"/>
    <w:rsid w:val="07F511FE"/>
    <w:rsid w:val="08976689"/>
    <w:rsid w:val="09125EC2"/>
    <w:rsid w:val="09302A3A"/>
    <w:rsid w:val="095B3146"/>
    <w:rsid w:val="09960EB2"/>
    <w:rsid w:val="09AD292E"/>
    <w:rsid w:val="0A0E74A1"/>
    <w:rsid w:val="0A1C584B"/>
    <w:rsid w:val="0A2E591D"/>
    <w:rsid w:val="0A33788C"/>
    <w:rsid w:val="0A6E7C44"/>
    <w:rsid w:val="0A7B6AC1"/>
    <w:rsid w:val="0A984002"/>
    <w:rsid w:val="0AD7424E"/>
    <w:rsid w:val="0B3379C9"/>
    <w:rsid w:val="0B977371"/>
    <w:rsid w:val="0BE04E95"/>
    <w:rsid w:val="0C23646B"/>
    <w:rsid w:val="0C802367"/>
    <w:rsid w:val="0CC27042"/>
    <w:rsid w:val="0D0671EE"/>
    <w:rsid w:val="0D1E5FD8"/>
    <w:rsid w:val="0D604E3B"/>
    <w:rsid w:val="0EC94782"/>
    <w:rsid w:val="0EF8605D"/>
    <w:rsid w:val="0F2C33F3"/>
    <w:rsid w:val="0F2D2347"/>
    <w:rsid w:val="0F444D05"/>
    <w:rsid w:val="0F930D69"/>
    <w:rsid w:val="0FA47B96"/>
    <w:rsid w:val="0FB7789E"/>
    <w:rsid w:val="0FC83135"/>
    <w:rsid w:val="1063198E"/>
    <w:rsid w:val="116C23FA"/>
    <w:rsid w:val="11960AB6"/>
    <w:rsid w:val="124E0982"/>
    <w:rsid w:val="12D51090"/>
    <w:rsid w:val="130D1F63"/>
    <w:rsid w:val="13827029"/>
    <w:rsid w:val="13D303CA"/>
    <w:rsid w:val="14810158"/>
    <w:rsid w:val="14B77D3E"/>
    <w:rsid w:val="152C7A2C"/>
    <w:rsid w:val="154436CF"/>
    <w:rsid w:val="155A1947"/>
    <w:rsid w:val="156D6478"/>
    <w:rsid w:val="15A80E34"/>
    <w:rsid w:val="167E3D18"/>
    <w:rsid w:val="16933185"/>
    <w:rsid w:val="170438C9"/>
    <w:rsid w:val="17146ABD"/>
    <w:rsid w:val="180C2EBF"/>
    <w:rsid w:val="18304CC6"/>
    <w:rsid w:val="18931A7C"/>
    <w:rsid w:val="18A304AC"/>
    <w:rsid w:val="18A50918"/>
    <w:rsid w:val="191B2421"/>
    <w:rsid w:val="19360F6D"/>
    <w:rsid w:val="193A7337"/>
    <w:rsid w:val="199F3C57"/>
    <w:rsid w:val="19CA2444"/>
    <w:rsid w:val="19E307D2"/>
    <w:rsid w:val="1A166042"/>
    <w:rsid w:val="1A1B0B96"/>
    <w:rsid w:val="1A2915BC"/>
    <w:rsid w:val="1A2A752F"/>
    <w:rsid w:val="1A79083A"/>
    <w:rsid w:val="1ADF09FF"/>
    <w:rsid w:val="1AE908EC"/>
    <w:rsid w:val="1B047717"/>
    <w:rsid w:val="1B134E19"/>
    <w:rsid w:val="1B7F66A6"/>
    <w:rsid w:val="1C3A11D3"/>
    <w:rsid w:val="1C3B0BF4"/>
    <w:rsid w:val="1C497A1E"/>
    <w:rsid w:val="1C6E45F7"/>
    <w:rsid w:val="1CEA3B8E"/>
    <w:rsid w:val="1D0F29A6"/>
    <w:rsid w:val="1D502C1C"/>
    <w:rsid w:val="1E6571F2"/>
    <w:rsid w:val="1ED45331"/>
    <w:rsid w:val="1F063AD9"/>
    <w:rsid w:val="1F232781"/>
    <w:rsid w:val="1F9B0390"/>
    <w:rsid w:val="1FE97E6F"/>
    <w:rsid w:val="20436967"/>
    <w:rsid w:val="205B3324"/>
    <w:rsid w:val="20C534D7"/>
    <w:rsid w:val="20D5268F"/>
    <w:rsid w:val="20E6298F"/>
    <w:rsid w:val="21166A89"/>
    <w:rsid w:val="212823D9"/>
    <w:rsid w:val="214371EA"/>
    <w:rsid w:val="214D2D41"/>
    <w:rsid w:val="21754E22"/>
    <w:rsid w:val="21963222"/>
    <w:rsid w:val="220122FD"/>
    <w:rsid w:val="2264278C"/>
    <w:rsid w:val="232F0DA7"/>
    <w:rsid w:val="23AD17BB"/>
    <w:rsid w:val="23FC219A"/>
    <w:rsid w:val="2419212F"/>
    <w:rsid w:val="242F2C6B"/>
    <w:rsid w:val="24A42094"/>
    <w:rsid w:val="24BC2C5E"/>
    <w:rsid w:val="24F6219B"/>
    <w:rsid w:val="252D6FD9"/>
    <w:rsid w:val="25530C45"/>
    <w:rsid w:val="25BC72EE"/>
    <w:rsid w:val="25FA362E"/>
    <w:rsid w:val="260736EA"/>
    <w:rsid w:val="260F213E"/>
    <w:rsid w:val="264D0A6C"/>
    <w:rsid w:val="269A220F"/>
    <w:rsid w:val="269F3079"/>
    <w:rsid w:val="271459DD"/>
    <w:rsid w:val="27C002AE"/>
    <w:rsid w:val="2816763A"/>
    <w:rsid w:val="296D117A"/>
    <w:rsid w:val="29BE45B2"/>
    <w:rsid w:val="29C41CB9"/>
    <w:rsid w:val="29DD184C"/>
    <w:rsid w:val="2A2108B3"/>
    <w:rsid w:val="2A2D7536"/>
    <w:rsid w:val="2A885E9D"/>
    <w:rsid w:val="2AEF7BB1"/>
    <w:rsid w:val="2BB64C39"/>
    <w:rsid w:val="2BC12D33"/>
    <w:rsid w:val="2BC71ED5"/>
    <w:rsid w:val="2C410A6F"/>
    <w:rsid w:val="2C480E6C"/>
    <w:rsid w:val="2C4F45CB"/>
    <w:rsid w:val="2C657312"/>
    <w:rsid w:val="2C7F00BB"/>
    <w:rsid w:val="2CAF3ECA"/>
    <w:rsid w:val="2CB94B33"/>
    <w:rsid w:val="2CC07C1F"/>
    <w:rsid w:val="2CD36AB2"/>
    <w:rsid w:val="2D561D54"/>
    <w:rsid w:val="2DCD15CC"/>
    <w:rsid w:val="2E923BDD"/>
    <w:rsid w:val="2ED053CD"/>
    <w:rsid w:val="2ED24967"/>
    <w:rsid w:val="2EF27DF0"/>
    <w:rsid w:val="2F2F3778"/>
    <w:rsid w:val="2F3A58AF"/>
    <w:rsid w:val="2F5D010A"/>
    <w:rsid w:val="30B8451C"/>
    <w:rsid w:val="30F25997"/>
    <w:rsid w:val="30FE5781"/>
    <w:rsid w:val="3130546A"/>
    <w:rsid w:val="313163F0"/>
    <w:rsid w:val="31370EAC"/>
    <w:rsid w:val="319859AD"/>
    <w:rsid w:val="31AF2DC1"/>
    <w:rsid w:val="32102CF5"/>
    <w:rsid w:val="324579B2"/>
    <w:rsid w:val="324962CA"/>
    <w:rsid w:val="326D3BC0"/>
    <w:rsid w:val="329D189F"/>
    <w:rsid w:val="330F53B0"/>
    <w:rsid w:val="33EB1F73"/>
    <w:rsid w:val="33F11A82"/>
    <w:rsid w:val="33FE5F51"/>
    <w:rsid w:val="347671E6"/>
    <w:rsid w:val="347B73C1"/>
    <w:rsid w:val="34B024A3"/>
    <w:rsid w:val="34F552C0"/>
    <w:rsid w:val="35437525"/>
    <w:rsid w:val="35903FE3"/>
    <w:rsid w:val="36502795"/>
    <w:rsid w:val="366257DD"/>
    <w:rsid w:val="36A1196A"/>
    <w:rsid w:val="36F31BA9"/>
    <w:rsid w:val="371F7543"/>
    <w:rsid w:val="38494BAF"/>
    <w:rsid w:val="384D402E"/>
    <w:rsid w:val="38887A09"/>
    <w:rsid w:val="38F90B3D"/>
    <w:rsid w:val="39203756"/>
    <w:rsid w:val="392A58DE"/>
    <w:rsid w:val="39884F5D"/>
    <w:rsid w:val="3A025AB3"/>
    <w:rsid w:val="3A292D4B"/>
    <w:rsid w:val="3AF92822"/>
    <w:rsid w:val="3B3E219E"/>
    <w:rsid w:val="3B476682"/>
    <w:rsid w:val="3B641274"/>
    <w:rsid w:val="3BB14788"/>
    <w:rsid w:val="3BC82C75"/>
    <w:rsid w:val="3BD20E6B"/>
    <w:rsid w:val="3BEE5142"/>
    <w:rsid w:val="3BF12135"/>
    <w:rsid w:val="3C5E308B"/>
    <w:rsid w:val="3C7471B8"/>
    <w:rsid w:val="3C7E26F6"/>
    <w:rsid w:val="3CE03E49"/>
    <w:rsid w:val="3D8232C3"/>
    <w:rsid w:val="3DDD39BF"/>
    <w:rsid w:val="3E35610A"/>
    <w:rsid w:val="3E4B0AE3"/>
    <w:rsid w:val="3E9B13B8"/>
    <w:rsid w:val="3EAB10E8"/>
    <w:rsid w:val="3F132E26"/>
    <w:rsid w:val="3F147D14"/>
    <w:rsid w:val="3F2C186D"/>
    <w:rsid w:val="3F5448F2"/>
    <w:rsid w:val="3F6D7FB0"/>
    <w:rsid w:val="3F953E86"/>
    <w:rsid w:val="3F9D7C9E"/>
    <w:rsid w:val="3FB50FE6"/>
    <w:rsid w:val="3FB955D8"/>
    <w:rsid w:val="401E6171"/>
    <w:rsid w:val="40E23F44"/>
    <w:rsid w:val="41971F41"/>
    <w:rsid w:val="41C104B5"/>
    <w:rsid w:val="41F86C08"/>
    <w:rsid w:val="424A7E54"/>
    <w:rsid w:val="42511E10"/>
    <w:rsid w:val="42761E4B"/>
    <w:rsid w:val="42886861"/>
    <w:rsid w:val="42C916CF"/>
    <w:rsid w:val="42EA6E3F"/>
    <w:rsid w:val="431B3AEC"/>
    <w:rsid w:val="43B06149"/>
    <w:rsid w:val="44F761F1"/>
    <w:rsid w:val="451D217B"/>
    <w:rsid w:val="462F48B8"/>
    <w:rsid w:val="471570E8"/>
    <w:rsid w:val="472233D1"/>
    <w:rsid w:val="473043E5"/>
    <w:rsid w:val="47607BB5"/>
    <w:rsid w:val="479301B4"/>
    <w:rsid w:val="47B23ACE"/>
    <w:rsid w:val="47D01546"/>
    <w:rsid w:val="484E0DBE"/>
    <w:rsid w:val="485D0277"/>
    <w:rsid w:val="487A272B"/>
    <w:rsid w:val="4881286F"/>
    <w:rsid w:val="48A301DC"/>
    <w:rsid w:val="49124A8E"/>
    <w:rsid w:val="49356DB4"/>
    <w:rsid w:val="494417EE"/>
    <w:rsid w:val="49455058"/>
    <w:rsid w:val="494F7706"/>
    <w:rsid w:val="49902D42"/>
    <w:rsid w:val="499648E3"/>
    <w:rsid w:val="49B93D51"/>
    <w:rsid w:val="4A1363C5"/>
    <w:rsid w:val="4A2B41C1"/>
    <w:rsid w:val="4A3249AA"/>
    <w:rsid w:val="4A865E3F"/>
    <w:rsid w:val="4B3F07B7"/>
    <w:rsid w:val="4B6F053D"/>
    <w:rsid w:val="4B7377F3"/>
    <w:rsid w:val="4B8E3E05"/>
    <w:rsid w:val="4B9C75A1"/>
    <w:rsid w:val="4BB67C8A"/>
    <w:rsid w:val="4C05708C"/>
    <w:rsid w:val="4C147ADF"/>
    <w:rsid w:val="4CA77320"/>
    <w:rsid w:val="4D144C33"/>
    <w:rsid w:val="4D600647"/>
    <w:rsid w:val="4DFC0A73"/>
    <w:rsid w:val="4E0001FC"/>
    <w:rsid w:val="4E121422"/>
    <w:rsid w:val="4E1B5AF9"/>
    <w:rsid w:val="4E3A1959"/>
    <w:rsid w:val="4EB62906"/>
    <w:rsid w:val="4F0F7277"/>
    <w:rsid w:val="4F2E7F70"/>
    <w:rsid w:val="4F7411A4"/>
    <w:rsid w:val="4F7F3D94"/>
    <w:rsid w:val="4FCE6003"/>
    <w:rsid w:val="4FF621AE"/>
    <w:rsid w:val="4FF95A27"/>
    <w:rsid w:val="50F50DEC"/>
    <w:rsid w:val="510F7304"/>
    <w:rsid w:val="52347B72"/>
    <w:rsid w:val="523F6723"/>
    <w:rsid w:val="52731568"/>
    <w:rsid w:val="528041C1"/>
    <w:rsid w:val="52E15621"/>
    <w:rsid w:val="532E1F02"/>
    <w:rsid w:val="53710F1C"/>
    <w:rsid w:val="53C45E1A"/>
    <w:rsid w:val="53DA791A"/>
    <w:rsid w:val="53E0115B"/>
    <w:rsid w:val="53FF1957"/>
    <w:rsid w:val="541C19CF"/>
    <w:rsid w:val="54A24B9D"/>
    <w:rsid w:val="55B06106"/>
    <w:rsid w:val="55C91DEB"/>
    <w:rsid w:val="55F91718"/>
    <w:rsid w:val="563A0484"/>
    <w:rsid w:val="56605F28"/>
    <w:rsid w:val="567D2ED4"/>
    <w:rsid w:val="57672F95"/>
    <w:rsid w:val="57741FB2"/>
    <w:rsid w:val="57C7117F"/>
    <w:rsid w:val="582C701D"/>
    <w:rsid w:val="5945720E"/>
    <w:rsid w:val="599D78C2"/>
    <w:rsid w:val="59B000AC"/>
    <w:rsid w:val="59E60CAB"/>
    <w:rsid w:val="59FC34BD"/>
    <w:rsid w:val="5A0F2FD6"/>
    <w:rsid w:val="5A6034A6"/>
    <w:rsid w:val="5B0D7AFA"/>
    <w:rsid w:val="5B2F46A4"/>
    <w:rsid w:val="5C39436E"/>
    <w:rsid w:val="5C8872D3"/>
    <w:rsid w:val="5CC91B0C"/>
    <w:rsid w:val="5CD8310B"/>
    <w:rsid w:val="5D844B37"/>
    <w:rsid w:val="5DF61B39"/>
    <w:rsid w:val="5E5048F2"/>
    <w:rsid w:val="5EB121CE"/>
    <w:rsid w:val="5EC94632"/>
    <w:rsid w:val="5FBC524E"/>
    <w:rsid w:val="600762C4"/>
    <w:rsid w:val="60096C91"/>
    <w:rsid w:val="60430294"/>
    <w:rsid w:val="60D36222"/>
    <w:rsid w:val="61053B4B"/>
    <w:rsid w:val="61605B7D"/>
    <w:rsid w:val="61675270"/>
    <w:rsid w:val="619108D2"/>
    <w:rsid w:val="61B67E43"/>
    <w:rsid w:val="61D93E7C"/>
    <w:rsid w:val="629C7B71"/>
    <w:rsid w:val="62B722F5"/>
    <w:rsid w:val="63441888"/>
    <w:rsid w:val="63AC3005"/>
    <w:rsid w:val="63CE7CFD"/>
    <w:rsid w:val="63D76CC9"/>
    <w:rsid w:val="63FD660B"/>
    <w:rsid w:val="64022096"/>
    <w:rsid w:val="64191377"/>
    <w:rsid w:val="643B0267"/>
    <w:rsid w:val="64EE4E92"/>
    <w:rsid w:val="64EF7864"/>
    <w:rsid w:val="651421FF"/>
    <w:rsid w:val="654D15C7"/>
    <w:rsid w:val="6557282C"/>
    <w:rsid w:val="66E72C3C"/>
    <w:rsid w:val="67786118"/>
    <w:rsid w:val="67B30181"/>
    <w:rsid w:val="67CB03A1"/>
    <w:rsid w:val="68264B39"/>
    <w:rsid w:val="68337E64"/>
    <w:rsid w:val="68B04D8E"/>
    <w:rsid w:val="68E83DFB"/>
    <w:rsid w:val="68EA2F06"/>
    <w:rsid w:val="68FA4D4C"/>
    <w:rsid w:val="69EC0581"/>
    <w:rsid w:val="6A833AE4"/>
    <w:rsid w:val="6ABC3477"/>
    <w:rsid w:val="6BB670F1"/>
    <w:rsid w:val="6BB931AD"/>
    <w:rsid w:val="6BBE74CD"/>
    <w:rsid w:val="6BE33234"/>
    <w:rsid w:val="6C260954"/>
    <w:rsid w:val="6C2E6832"/>
    <w:rsid w:val="6CAE3CE8"/>
    <w:rsid w:val="6CF91735"/>
    <w:rsid w:val="6D0D6A57"/>
    <w:rsid w:val="6D757D1D"/>
    <w:rsid w:val="6D914CEA"/>
    <w:rsid w:val="6E7054A4"/>
    <w:rsid w:val="6EA67CDD"/>
    <w:rsid w:val="6F0C433D"/>
    <w:rsid w:val="6F6E4957"/>
    <w:rsid w:val="6FF2295E"/>
    <w:rsid w:val="70085002"/>
    <w:rsid w:val="70521EA3"/>
    <w:rsid w:val="70B73C20"/>
    <w:rsid w:val="70DC3771"/>
    <w:rsid w:val="70EA0516"/>
    <w:rsid w:val="70EB1A38"/>
    <w:rsid w:val="717B1CF2"/>
    <w:rsid w:val="71C637A8"/>
    <w:rsid w:val="721E1089"/>
    <w:rsid w:val="72313F39"/>
    <w:rsid w:val="72676DEA"/>
    <w:rsid w:val="72D603D2"/>
    <w:rsid w:val="73066C5B"/>
    <w:rsid w:val="73F63F10"/>
    <w:rsid w:val="74132530"/>
    <w:rsid w:val="7445752A"/>
    <w:rsid w:val="747C0916"/>
    <w:rsid w:val="74997BC0"/>
    <w:rsid w:val="74E23B5E"/>
    <w:rsid w:val="74E90C4D"/>
    <w:rsid w:val="750F7F44"/>
    <w:rsid w:val="75702A32"/>
    <w:rsid w:val="75F11252"/>
    <w:rsid w:val="76F123A0"/>
    <w:rsid w:val="776E61B8"/>
    <w:rsid w:val="77872D7E"/>
    <w:rsid w:val="78134D35"/>
    <w:rsid w:val="7822230F"/>
    <w:rsid w:val="784306E9"/>
    <w:rsid w:val="78D862FE"/>
    <w:rsid w:val="78FC3D66"/>
    <w:rsid w:val="79256331"/>
    <w:rsid w:val="79270591"/>
    <w:rsid w:val="79873E1E"/>
    <w:rsid w:val="7A5F6991"/>
    <w:rsid w:val="7A937E9A"/>
    <w:rsid w:val="7A9634AC"/>
    <w:rsid w:val="7B010999"/>
    <w:rsid w:val="7B4C1761"/>
    <w:rsid w:val="7BA135F7"/>
    <w:rsid w:val="7BF0324B"/>
    <w:rsid w:val="7C0C6404"/>
    <w:rsid w:val="7CAF29E3"/>
    <w:rsid w:val="7CCB40AD"/>
    <w:rsid w:val="7CCD7CEC"/>
    <w:rsid w:val="7D1F670C"/>
    <w:rsid w:val="7D8F328A"/>
    <w:rsid w:val="7DC063C9"/>
    <w:rsid w:val="7DCB6AA0"/>
    <w:rsid w:val="7E52121F"/>
    <w:rsid w:val="7EBE4610"/>
    <w:rsid w:val="7F054E5C"/>
    <w:rsid w:val="7FB8299C"/>
    <w:rsid w:val="7FF70B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3"/>
    <w:basedOn w:val="1"/>
    <w:next w:val="1"/>
    <w:link w:val="32"/>
    <w:semiHidden/>
    <w:unhideWhenUsed/>
    <w:qFormat/>
    <w:uiPriority w:val="0"/>
    <w:pPr>
      <w:keepNext/>
      <w:keepLines/>
      <w:adjustRightInd w:val="0"/>
      <w:snapToGrid w:val="0"/>
      <w:spacing w:line="360" w:lineRule="auto"/>
      <w:ind w:firstLine="482" w:firstLineChars="200"/>
      <w:outlineLvl w:val="2"/>
    </w:pPr>
    <w:rPr>
      <w:rFonts w:ascii="Times New Roman" w:hAnsi="Times New Roman" w:eastAsia="宋体" w:cs="Times New Roman"/>
      <w:b/>
      <w:bCs/>
      <w:sz w:val="28"/>
      <w:szCs w:val="32"/>
    </w:rPr>
  </w:style>
  <w:style w:type="paragraph" w:styleId="9">
    <w:name w:val="heading 4"/>
    <w:basedOn w:val="1"/>
    <w:next w:val="1"/>
    <w:qFormat/>
    <w:uiPriority w:val="0"/>
    <w:pPr>
      <w:keepNext/>
      <w:keepLines/>
      <w:spacing w:before="280" w:after="290" w:line="372" w:lineRule="auto"/>
      <w:outlineLvl w:val="3"/>
    </w:pPr>
    <w:rPr>
      <w:rFonts w:ascii="Arial" w:hAnsi="Arial" w:eastAsia="黑体"/>
      <w:b/>
      <w:bCs/>
      <w:sz w:val="28"/>
      <w:szCs w:val="28"/>
    </w:rPr>
  </w:style>
  <w:style w:type="character" w:default="1" w:styleId="26">
    <w:name w:val="Default Paragraph Font"/>
    <w:semiHidden/>
    <w:unhideWhenUsed/>
    <w:qFormat/>
    <w:uiPriority w:val="1"/>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Indent"/>
    <w:basedOn w:val="1"/>
    <w:next w:val="3"/>
    <w:qFormat/>
    <w:uiPriority w:val="0"/>
    <w:pPr>
      <w:spacing w:after="120"/>
      <w:ind w:left="420" w:leftChars="200"/>
    </w:pPr>
  </w:style>
  <w:style w:type="paragraph" w:customStyle="1" w:styleId="3">
    <w:name w:val="xl97"/>
    <w:basedOn w:val="1"/>
    <w:next w:val="4"/>
    <w:qFormat/>
    <w:uiPriority w:val="0"/>
    <w:pPr>
      <w:widowControl/>
      <w:pBdr>
        <w:bottom w:val="single" w:color="auto" w:sz="8"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4">
    <w:name w:val="xl127"/>
    <w:basedOn w:val="5"/>
    <w:next w:val="6"/>
    <w:qFormat/>
    <w:uiPriority w:val="99"/>
    <w:pPr>
      <w:widowControl/>
      <w:pBdr>
        <w:top w:val="single" w:color="auto" w:sz="8" w:space="0"/>
        <w:left w:val="single" w:color="auto" w:sz="8" w:space="0"/>
        <w:bottom w:val="single" w:color="auto" w:sz="8" w:space="0"/>
      </w:pBdr>
      <w:spacing w:before="100" w:beforeAutospacing="1" w:after="100" w:afterAutospacing="1"/>
    </w:pPr>
    <w:rPr>
      <w:rFonts w:ascii="宋体" w:hAnsi="宋体" w:cs="宋体"/>
      <w:kern w:val="0"/>
      <w:szCs w:val="21"/>
    </w:rPr>
  </w:style>
  <w:style w:type="paragraph" w:styleId="5">
    <w:name w:val="Body Text"/>
    <w:basedOn w:val="1"/>
    <w:next w:val="1"/>
    <w:qFormat/>
    <w:uiPriority w:val="0"/>
    <w:pPr>
      <w:spacing w:after="120"/>
    </w:pPr>
  </w:style>
  <w:style w:type="paragraph" w:customStyle="1" w:styleId="6">
    <w:name w:val="1"/>
    <w:basedOn w:val="7"/>
    <w:next w:val="1"/>
    <w:qFormat/>
    <w:uiPriority w:val="0"/>
    <w:pPr>
      <w:snapToGrid w:val="0"/>
      <w:spacing w:line="360" w:lineRule="exact"/>
    </w:pPr>
    <w:rPr>
      <w:rFonts w:ascii="宋体" w:hAnsi="Courier New"/>
      <w:kern w:val="24"/>
      <w:sz w:val="24"/>
      <w:szCs w:val="20"/>
    </w:rPr>
  </w:style>
  <w:style w:type="paragraph" w:styleId="7">
    <w:name w:val="Body Text 2"/>
    <w:basedOn w:val="1"/>
    <w:unhideWhenUsed/>
    <w:qFormat/>
    <w:uiPriority w:val="99"/>
    <w:pPr>
      <w:spacing w:after="120" w:line="480" w:lineRule="auto"/>
    </w:pPr>
    <w:rPr>
      <w:rFonts w:ascii="等线" w:hAnsi="等线" w:eastAsia="等线"/>
      <w:kern w:val="0"/>
      <w:sz w:val="20"/>
      <w:lang w:val="zh-CN"/>
    </w:rPr>
  </w:style>
  <w:style w:type="paragraph" w:styleId="10">
    <w:name w:val="Normal Indent"/>
    <w:basedOn w:val="1"/>
    <w:next w:val="1"/>
    <w:qFormat/>
    <w:uiPriority w:val="0"/>
    <w:pPr>
      <w:ind w:firstLine="420" w:firstLineChars="200"/>
    </w:pPr>
  </w:style>
  <w:style w:type="paragraph" w:styleId="11">
    <w:name w:val="annotation text"/>
    <w:basedOn w:val="1"/>
    <w:qFormat/>
    <w:uiPriority w:val="0"/>
    <w:pPr>
      <w:jc w:val="left"/>
    </w:pPr>
  </w:style>
  <w:style w:type="paragraph" w:styleId="12">
    <w:name w:val="Block Text"/>
    <w:basedOn w:val="1"/>
    <w:next w:val="1"/>
    <w:qFormat/>
    <w:uiPriority w:val="0"/>
    <w:pPr>
      <w:snapToGrid w:val="0"/>
      <w:spacing w:line="420" w:lineRule="exact"/>
      <w:ind w:left="101" w:leftChars="48" w:right="149" w:rightChars="71" w:firstLine="426" w:firstLineChars="203"/>
    </w:pPr>
  </w:style>
  <w:style w:type="paragraph" w:styleId="13">
    <w:name w:val="Plain Text"/>
    <w:basedOn w:val="1"/>
    <w:next w:val="1"/>
    <w:qFormat/>
    <w:uiPriority w:val="0"/>
    <w:pPr>
      <w:spacing w:line="420" w:lineRule="exact"/>
      <w:ind w:firstLine="200" w:firstLineChars="200"/>
    </w:pPr>
    <w:rPr>
      <w:rFonts w:ascii="宋体" w:hAnsi="Courier New" w:cs="Courier New"/>
      <w:szCs w:val="21"/>
    </w:rPr>
  </w:style>
  <w:style w:type="paragraph" w:styleId="14">
    <w:name w:val="Body Text Indent 2"/>
    <w:basedOn w:val="1"/>
    <w:next w:val="1"/>
    <w:qFormat/>
    <w:uiPriority w:val="0"/>
    <w:pPr>
      <w:spacing w:line="360" w:lineRule="auto"/>
      <w:ind w:firstLine="480" w:firstLineChars="200"/>
    </w:pPr>
    <w:rPr>
      <w:sz w:val="24"/>
    </w:rPr>
  </w:style>
  <w:style w:type="paragraph" w:styleId="15">
    <w:name w:val="Balloon Text"/>
    <w:basedOn w:val="1"/>
    <w:qFormat/>
    <w:uiPriority w:val="99"/>
    <w:rPr>
      <w:sz w:val="18"/>
      <w:szCs w:val="18"/>
    </w:rPr>
  </w:style>
  <w:style w:type="paragraph" w:styleId="16">
    <w:name w:val="footer"/>
    <w:basedOn w:val="1"/>
    <w:next w:val="1"/>
    <w:qFormat/>
    <w:uiPriority w:val="99"/>
    <w:pPr>
      <w:tabs>
        <w:tab w:val="center" w:pos="4153"/>
        <w:tab w:val="right" w:pos="8306"/>
      </w:tabs>
      <w:snapToGrid w:val="0"/>
      <w:jc w:val="left"/>
    </w:pPr>
    <w:rPr>
      <w:kern w:val="0"/>
      <w:sz w:val="18"/>
      <w:szCs w:val="20"/>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Body Text Indent 3"/>
    <w:basedOn w:val="1"/>
    <w:qFormat/>
    <w:uiPriority w:val="0"/>
    <w:pPr>
      <w:spacing w:line="380" w:lineRule="exact"/>
      <w:ind w:left="44" w:firstLine="435" w:firstLineChars="207"/>
    </w:pPr>
    <w:rPr>
      <w:szCs w:val="21"/>
    </w:rPr>
  </w:style>
  <w:style w:type="paragraph" w:styleId="19">
    <w:name w:val="table of figures"/>
    <w:basedOn w:val="1"/>
    <w:next w:val="1"/>
    <w:qFormat/>
    <w:uiPriority w:val="0"/>
    <w:pPr>
      <w:spacing w:beforeLines="50" w:afterLines="50" w:line="500" w:lineRule="exact"/>
      <w:jc w:val="center"/>
    </w:pPr>
    <w:rPr>
      <w:rFonts w:ascii="仿宋_GB2312" w:eastAsia="仿宋_GB2312"/>
      <w:sz w:val="28"/>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Body Text First Indent"/>
    <w:basedOn w:val="5"/>
    <w:qFormat/>
    <w:uiPriority w:val="0"/>
    <w:pPr>
      <w:ind w:firstLine="420" w:firstLineChars="100"/>
    </w:pPr>
  </w:style>
  <w:style w:type="paragraph" w:styleId="22">
    <w:name w:val="Body Text First Indent 2"/>
    <w:basedOn w:val="2"/>
    <w:next w:val="23"/>
    <w:qFormat/>
    <w:uiPriority w:val="0"/>
    <w:pPr>
      <w:ind w:firstLine="420" w:firstLineChars="200"/>
    </w:pPr>
  </w:style>
  <w:style w:type="paragraph" w:customStyle="1" w:styleId="23">
    <w:name w:val="Default"/>
    <w:next w:val="1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qFormat/>
    <w:uiPriority w:val="0"/>
  </w:style>
  <w:style w:type="character" w:styleId="29">
    <w:name w:val="annotation reference"/>
    <w:qFormat/>
    <w:uiPriority w:val="0"/>
    <w:rPr>
      <w:sz w:val="21"/>
      <w:szCs w:val="21"/>
    </w:rPr>
  </w:style>
  <w:style w:type="paragraph" w:customStyle="1" w:styleId="30">
    <w:name w:val="样式 正文文本缩进 + 行距: 1.5 倍行距"/>
    <w:basedOn w:val="31"/>
    <w:qFormat/>
    <w:uiPriority w:val="0"/>
    <w:pPr>
      <w:spacing w:after="120" w:line="360" w:lineRule="auto"/>
      <w:ind w:left="90" w:leftChars="32" w:firstLine="560" w:firstLineChars="200"/>
    </w:pPr>
    <w:rPr>
      <w:rFonts w:cs="宋体"/>
      <w:sz w:val="24"/>
    </w:rPr>
  </w:style>
  <w:style w:type="paragraph" w:customStyle="1" w:styleId="31">
    <w:name w:val="Body Text Indent"/>
    <w:basedOn w:val="1"/>
    <w:next w:val="30"/>
    <w:qFormat/>
    <w:uiPriority w:val="0"/>
    <w:pPr>
      <w:spacing w:after="120" w:afterLines="0"/>
      <w:ind w:left="420" w:leftChars="200"/>
    </w:pPr>
    <w:rPr>
      <w:rFonts w:ascii="Times New Roman" w:hAnsi="Times New Roman" w:eastAsia="宋体"/>
      <w:sz w:val="24"/>
    </w:rPr>
  </w:style>
  <w:style w:type="character" w:customStyle="1" w:styleId="32">
    <w:name w:val="标题 3 Char2"/>
    <w:basedOn w:val="26"/>
    <w:link w:val="8"/>
    <w:qFormat/>
    <w:uiPriority w:val="0"/>
    <w:rPr>
      <w:rFonts w:ascii="Times New Roman" w:hAnsi="Times New Roman" w:eastAsia="宋体" w:cs="Times New Roman"/>
      <w:b/>
      <w:bCs/>
      <w:sz w:val="28"/>
      <w:szCs w:val="32"/>
    </w:rPr>
  </w:style>
  <w:style w:type="paragraph" w:customStyle="1" w:styleId="33">
    <w:name w:val="表格"/>
    <w:basedOn w:val="13"/>
    <w:next w:val="1"/>
    <w:qFormat/>
    <w:uiPriority w:val="0"/>
    <w:pPr>
      <w:adjustRightInd w:val="0"/>
      <w:snapToGrid w:val="0"/>
      <w:spacing w:beforeLines="10" w:afterLines="10" w:line="259" w:lineRule="auto"/>
      <w:jc w:val="center"/>
    </w:pPr>
    <w:rPr>
      <w:rFonts w:ascii="宋体"/>
      <w:kern w:val="0"/>
      <w:szCs w:val="20"/>
    </w:rPr>
  </w:style>
  <w:style w:type="paragraph" w:customStyle="1" w:styleId="34">
    <w:name w:val="正文样式"/>
    <w:basedOn w:val="1"/>
    <w:qFormat/>
    <w:uiPriority w:val="0"/>
    <w:pPr>
      <w:spacing w:line="360" w:lineRule="auto"/>
      <w:ind w:firstLine="480" w:firstLineChars="200"/>
    </w:pPr>
    <w:rPr>
      <w:sz w:val="24"/>
    </w:rPr>
  </w:style>
  <w:style w:type="paragraph" w:styleId="35">
    <w:name w:val="List Paragraph"/>
    <w:basedOn w:val="1"/>
    <w:qFormat/>
    <w:uiPriority w:val="99"/>
    <w:pPr>
      <w:ind w:firstLine="420" w:firstLineChars="200"/>
    </w:pPr>
  </w:style>
  <w:style w:type="paragraph" w:customStyle="1" w:styleId="36">
    <w:name w:val="p15"/>
    <w:basedOn w:val="1"/>
    <w:qFormat/>
    <w:uiPriority w:val="0"/>
    <w:pPr>
      <w:widowControl/>
    </w:pPr>
    <w:rPr>
      <w:kern w:val="0"/>
      <w:szCs w:val="21"/>
    </w:rPr>
  </w:style>
  <w:style w:type="paragraph" w:customStyle="1" w:styleId="37">
    <w:name w:val="环评正文1"/>
    <w:basedOn w:val="1"/>
    <w:qFormat/>
    <w:uiPriority w:val="0"/>
    <w:pPr>
      <w:spacing w:line="440" w:lineRule="exact"/>
      <w:ind w:firstLine="560" w:firstLineChars="200"/>
    </w:pPr>
    <w:rPr>
      <w:rFonts w:ascii="仿宋_GB2312" w:hAnsi="宋体" w:eastAsia="仿宋_GB2312"/>
      <w:sz w:val="28"/>
    </w:rPr>
  </w:style>
  <w:style w:type="paragraph" w:customStyle="1" w:styleId="38">
    <w:name w:val="表格文字"/>
    <w:basedOn w:val="5"/>
    <w:next w:val="1"/>
    <w:qFormat/>
    <w:uiPriority w:val="0"/>
    <w:pPr>
      <w:snapToGrid w:val="0"/>
      <w:spacing w:line="240" w:lineRule="exact"/>
      <w:jc w:val="center"/>
    </w:pPr>
    <w:rPr>
      <w:rFonts w:eastAsia="仿宋"/>
      <w:snapToGrid w:val="0"/>
      <w:kern w:val="0"/>
      <w:szCs w:val="21"/>
    </w:rPr>
  </w:style>
  <w:style w:type="paragraph" w:customStyle="1" w:styleId="39">
    <w:name w:val="表格首行"/>
    <w:next w:val="1"/>
    <w:qFormat/>
    <w:uiPriority w:val="0"/>
    <w:pPr>
      <w:jc w:val="center"/>
    </w:pPr>
    <w:rPr>
      <w:rFonts w:ascii="Times New Roman" w:hAnsi="Times New Roman" w:eastAsia="仿宋" w:cs="Times New Roman"/>
      <w:b/>
      <w:kern w:val="2"/>
      <w:sz w:val="21"/>
      <w:szCs w:val="24"/>
      <w:lang w:val="en-US" w:eastAsia="zh-CN" w:bidi="ar-SA"/>
    </w:rPr>
  </w:style>
  <w:style w:type="paragraph" w:customStyle="1" w:styleId="40">
    <w:name w:val="环评正文"/>
    <w:qFormat/>
    <w:uiPriority w:val="0"/>
    <w:pPr>
      <w:widowControl w:val="0"/>
      <w:autoSpaceDE w:val="0"/>
      <w:autoSpaceDN w:val="0"/>
      <w:adjustRightInd w:val="0"/>
      <w:snapToGrid w:val="0"/>
      <w:spacing w:line="520" w:lineRule="exact"/>
      <w:ind w:firstLine="600" w:firstLineChars="200"/>
    </w:pPr>
    <w:rPr>
      <w:rFonts w:ascii="Times New Roman" w:hAnsi="Times New Roman" w:eastAsia="宋体" w:cs="Times New Roman"/>
      <w:color w:val="000000"/>
      <w:sz w:val="24"/>
      <w:lang w:val="en-US" w:eastAsia="zh-CN" w:bidi="ar-SA"/>
    </w:rPr>
  </w:style>
  <w:style w:type="paragraph" w:customStyle="1" w:styleId="41">
    <w:name w:val="环评表头"/>
    <w:basedOn w:val="1"/>
    <w:next w:val="1"/>
    <w:qFormat/>
    <w:uiPriority w:val="99"/>
    <w:pPr>
      <w:spacing w:beforeLines="50"/>
      <w:jc w:val="center"/>
    </w:pPr>
    <w:rPr>
      <w:rFonts w:eastAsia="黑体"/>
      <w:bCs/>
      <w:kern w:val="0"/>
      <w:sz w:val="24"/>
    </w:rPr>
  </w:style>
  <w:style w:type="paragraph" w:customStyle="1" w:styleId="42">
    <w:name w:val="环评表格"/>
    <w:basedOn w:val="1"/>
    <w:qFormat/>
    <w:uiPriority w:val="0"/>
    <w:pPr>
      <w:jc w:val="center"/>
    </w:pPr>
    <w:rPr>
      <w:rFonts w:hAnsi="仿宋" w:eastAsia="仿宋"/>
      <w:sz w:val="24"/>
    </w:rPr>
  </w:style>
  <w:style w:type="paragraph" w:customStyle="1" w:styleId="43">
    <w:name w:val="26磅正文"/>
    <w:basedOn w:val="1"/>
    <w:qFormat/>
    <w:uiPriority w:val="0"/>
    <w:pPr>
      <w:spacing w:line="520" w:lineRule="exact"/>
      <w:ind w:firstLine="480" w:firstLineChars="200"/>
    </w:pPr>
    <w:rPr>
      <w:rFonts w:ascii="宋体" w:hAnsi="宋体"/>
      <w:color w:val="000000"/>
      <w:sz w:val="24"/>
    </w:rPr>
  </w:style>
  <w:style w:type="paragraph" w:customStyle="1" w:styleId="44">
    <w:name w:val="a正文用"/>
    <w:basedOn w:val="45"/>
    <w:qFormat/>
    <w:uiPriority w:val="0"/>
  </w:style>
  <w:style w:type="paragraph" w:customStyle="1" w:styleId="45">
    <w:name w:val="a正文"/>
    <w:basedOn w:val="12"/>
    <w:qFormat/>
    <w:uiPriority w:val="0"/>
    <w:pPr>
      <w:spacing w:line="360" w:lineRule="auto"/>
      <w:ind w:firstLine="200" w:firstLineChars="200"/>
    </w:pPr>
    <w:rPr>
      <w:sz w:val="24"/>
      <w:szCs w:val="28"/>
    </w:rPr>
  </w:style>
  <w:style w:type="paragraph" w:customStyle="1" w:styleId="46">
    <w:name w:val="正文1"/>
    <w:basedOn w:val="1"/>
    <w:qFormat/>
    <w:uiPriority w:val="0"/>
    <w:pPr>
      <w:spacing w:line="560" w:lineRule="exact"/>
      <w:ind w:firstLine="200" w:firstLineChars="200"/>
    </w:pPr>
    <w:rPr>
      <w:rFonts w:ascii="宋体" w:hAnsi="宋体"/>
      <w:sz w:val="28"/>
      <w:szCs w:val="28"/>
    </w:rPr>
  </w:style>
  <w:style w:type="paragraph" w:customStyle="1" w:styleId="47">
    <w:name w:val="新利正文"/>
    <w:basedOn w:val="1"/>
    <w:qFormat/>
    <w:uiPriority w:val="0"/>
    <w:pPr>
      <w:spacing w:beforeLines="25" w:line="440" w:lineRule="exact"/>
      <w:ind w:firstLine="560"/>
    </w:pPr>
    <w:rPr>
      <w:color w:val="000000"/>
      <w:sz w:val="24"/>
    </w:rPr>
  </w:style>
  <w:style w:type="paragraph" w:customStyle="1" w:styleId="48">
    <w:name w:val="纯文本1"/>
    <w:basedOn w:val="1"/>
    <w:qFormat/>
    <w:uiPriority w:val="99"/>
    <w:rPr>
      <w:rFonts w:ascii="宋体" w:hAnsi="Courier New" w:cs="宋体"/>
      <w:sz w:val="24"/>
      <w:szCs w:val="24"/>
    </w:rPr>
  </w:style>
  <w:style w:type="paragraph" w:customStyle="1" w:styleId="49">
    <w:name w:val="a表内容"/>
    <w:basedOn w:val="1"/>
    <w:qFormat/>
    <w:uiPriority w:val="0"/>
    <w:pPr>
      <w:jc w:val="center"/>
    </w:pPr>
    <w:rPr>
      <w:szCs w:val="21"/>
    </w:rPr>
  </w:style>
  <w:style w:type="paragraph" w:customStyle="1" w:styleId="50">
    <w:name w:val="a"/>
    <w:basedOn w:val="1"/>
    <w:qFormat/>
    <w:uiPriority w:val="0"/>
    <w:pPr>
      <w:widowControl/>
      <w:spacing w:before="100" w:beforeAutospacing="1" w:after="100" w:afterAutospacing="1" w:line="360" w:lineRule="auto"/>
      <w:ind w:firstLine="200" w:firstLineChars="200"/>
      <w:jc w:val="left"/>
    </w:pPr>
    <w:rPr>
      <w:rFonts w:ascii="宋体" w:hAnsi="宋体" w:cs="宋体"/>
      <w:bCs/>
    </w:rPr>
  </w:style>
  <w:style w:type="paragraph" w:customStyle="1" w:styleId="51">
    <w:name w:val="表格文字2"/>
    <w:basedOn w:val="1"/>
    <w:qFormat/>
    <w:uiPriority w:val="0"/>
    <w:pPr>
      <w:tabs>
        <w:tab w:val="left" w:pos="277"/>
        <w:tab w:val="left" w:pos="600"/>
        <w:tab w:val="left" w:pos="780"/>
        <w:tab w:val="left" w:pos="2517"/>
      </w:tabs>
      <w:adjustRightInd w:val="0"/>
      <w:spacing w:before="60"/>
      <w:jc w:val="center"/>
      <w:textAlignment w:val="baseline"/>
    </w:pPr>
    <w:rPr>
      <w:bCs/>
      <w:sz w:val="21"/>
    </w:rPr>
  </w:style>
  <w:style w:type="paragraph" w:customStyle="1" w:styleId="52">
    <w:name w:val="孟电报告正文"/>
    <w:basedOn w:val="1"/>
    <w:qFormat/>
    <w:uiPriority w:val="0"/>
    <w:pPr>
      <w:adjustRightInd w:val="0"/>
      <w:snapToGrid w:val="0"/>
      <w:spacing w:beforeLines="25" w:line="440" w:lineRule="exact"/>
      <w:ind w:firstLine="200" w:firstLineChars="200"/>
    </w:pPr>
    <w:rPr>
      <w:color w:val="000000"/>
      <w:sz w:val="24"/>
    </w:rPr>
  </w:style>
  <w:style w:type="paragraph" w:customStyle="1" w:styleId="53">
    <w:name w:val="a正文排版格式"/>
    <w:basedOn w:val="54"/>
    <w:qFormat/>
    <w:uiPriority w:val="0"/>
    <w:pPr>
      <w:tabs>
        <w:tab w:val="left" w:pos="2520"/>
      </w:tabs>
      <w:spacing w:line="360" w:lineRule="auto"/>
      <w:ind w:firstLine="576" w:firstLineChars="200"/>
    </w:pPr>
    <w:rPr>
      <w:rFonts w:ascii="仿宋_GB2312" w:eastAsia="仿宋_GB2312"/>
      <w:spacing w:val="4"/>
      <w:sz w:val="28"/>
      <w:szCs w:val="28"/>
    </w:rPr>
  </w:style>
  <w:style w:type="paragraph" w:customStyle="1" w:styleId="54">
    <w:name w:val="正文 New New"/>
    <w:qFormat/>
    <w:uiPriority w:val="0"/>
    <w:pPr>
      <w:widowControl w:val="0"/>
      <w:jc w:val="both"/>
    </w:pPr>
    <w:rPr>
      <w:rFonts w:ascii="Times New Roman" w:hAnsi="Times New Roman" w:eastAsia="Times New Roman" w:cs="Times New Roman"/>
      <w:kern w:val="2"/>
      <w:sz w:val="21"/>
      <w:szCs w:val="24"/>
      <w:lang w:val="en-US" w:eastAsia="zh-CN" w:bidi="ar-SA"/>
    </w:rPr>
  </w:style>
  <w:style w:type="paragraph" w:customStyle="1" w:styleId="55">
    <w:name w:val="表中文字"/>
    <w:basedOn w:val="1"/>
    <w:qFormat/>
    <w:uiPriority w:val="0"/>
    <w:pPr>
      <w:spacing w:line="280" w:lineRule="exact"/>
      <w:ind w:firstLine="883" w:firstLineChars="200"/>
      <w:jc w:val="center"/>
    </w:pPr>
    <w:rPr>
      <w:rFonts w:ascii="Calibri" w:hAnsi="Calibri" w:eastAsia="仿宋_GB2312"/>
      <w:color w:val="000000"/>
    </w:rPr>
  </w:style>
  <w:style w:type="paragraph" w:customStyle="1" w:styleId="56">
    <w:name w:val="Table Paragraph"/>
    <w:basedOn w:val="1"/>
    <w:qFormat/>
    <w:uiPriority w:val="1"/>
    <w:rPr>
      <w:rFonts w:ascii="仿宋" w:hAnsi="仿宋" w:eastAsia="仿宋" w:cs="仿宋"/>
      <w:lang w:val="zh-CN" w:eastAsia="zh-CN" w:bidi="zh-CN"/>
    </w:rPr>
  </w:style>
  <w:style w:type="paragraph" w:customStyle="1" w:styleId="57">
    <w:name w:val="报告表正文"/>
    <w:basedOn w:val="1"/>
    <w:qFormat/>
    <w:uiPriority w:val="0"/>
    <w:pPr>
      <w:adjustRightInd w:val="0"/>
      <w:spacing w:line="312" w:lineRule="auto"/>
      <w:ind w:left="113" w:right="113" w:firstLine="482"/>
      <w:jc w:val="left"/>
      <w:textAlignment w:val="baseline"/>
    </w:pPr>
    <w:rPr>
      <w:kern w:val="0"/>
      <w:sz w:val="24"/>
      <w:szCs w:val="20"/>
    </w:rPr>
  </w:style>
  <w:style w:type="character" w:customStyle="1" w:styleId="58">
    <w:name w:val="fontstyle01"/>
    <w:basedOn w:val="26"/>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wmf"/><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oleObject" Target="embeddings/oleObject5.bin"/><Relationship Id="rId23" Type="http://schemas.openxmlformats.org/officeDocument/2006/relationships/image" Target="media/image12.wmf"/><Relationship Id="rId22" Type="http://schemas.openxmlformats.org/officeDocument/2006/relationships/image" Target="media/image11.wmf"/><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4.bin"/><Relationship Id="rId17" Type="http://schemas.openxmlformats.org/officeDocument/2006/relationships/image" Target="media/image7.emf"/><Relationship Id="rId16" Type="http://schemas.openxmlformats.org/officeDocument/2006/relationships/oleObject" Target="embeddings/oleObject3.bin"/><Relationship Id="rId15" Type="http://schemas.openxmlformats.org/officeDocument/2006/relationships/image" Target="media/image6.wmf"/><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26663</Words>
  <Characters>30437</Characters>
  <Lines>0</Lines>
  <Paragraphs>0</Paragraphs>
  <TotalTime>0</TotalTime>
  <ScaleCrop>false</ScaleCrop>
  <LinksUpToDate>false</LinksUpToDate>
  <CharactersWithSpaces>30709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2020-01-02T02:06:00Z</dcterms:created>
  <dc:creator>Administrator</dc:creator>
  <cp:lastModifiedBy>七月和风</cp:lastModifiedBy>
  <cp:lastPrinted>2022-07-04T11:25:00Z</cp:lastPrinted>
  <dcterms:modified xsi:type="dcterms:W3CDTF">2022-08-23T09:10:37Z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E0BCD4F2CB4947D3BDE3F860A53E20C5</vt:lpwstr>
  </property>
</Properties>
</file>